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A91" w:rsidRPr="00C50852" w:rsidRDefault="00055CE1" w:rsidP="00DD4A91">
      <w:pPr>
        <w:jc w:val="center"/>
        <w:rPr>
          <w:b/>
          <w:sz w:val="28"/>
          <w:szCs w:val="28"/>
        </w:rPr>
      </w:pPr>
      <w:r>
        <w:rPr>
          <w:b/>
          <w:sz w:val="28"/>
          <w:szCs w:val="28"/>
        </w:rPr>
        <w:t>Comparative A</w:t>
      </w:r>
      <w:r w:rsidR="00F81383" w:rsidRPr="00C50852">
        <w:rPr>
          <w:b/>
          <w:sz w:val="28"/>
          <w:szCs w:val="28"/>
        </w:rPr>
        <w:t xml:space="preserve">nalysis </w:t>
      </w:r>
      <w:r w:rsidR="00A32A4D">
        <w:rPr>
          <w:b/>
          <w:sz w:val="28"/>
          <w:szCs w:val="28"/>
        </w:rPr>
        <w:t xml:space="preserve">prepared by FESS </w:t>
      </w:r>
      <w:r w:rsidR="00F81383" w:rsidRPr="00C50852">
        <w:rPr>
          <w:b/>
          <w:sz w:val="28"/>
          <w:szCs w:val="28"/>
        </w:rPr>
        <w:t xml:space="preserve">for the </w:t>
      </w:r>
      <w:r w:rsidR="00A32A4D">
        <w:rPr>
          <w:b/>
          <w:sz w:val="28"/>
          <w:szCs w:val="28"/>
        </w:rPr>
        <w:t>ETBI/</w:t>
      </w:r>
      <w:r w:rsidR="00DD4A91" w:rsidRPr="00C50852">
        <w:rPr>
          <w:b/>
          <w:sz w:val="28"/>
          <w:szCs w:val="28"/>
        </w:rPr>
        <w:t>QQI</w:t>
      </w:r>
      <w:bookmarkStart w:id="0" w:name="_GoBack"/>
      <w:bookmarkEnd w:id="0"/>
      <w:r w:rsidR="00F81383" w:rsidRPr="00C50852">
        <w:rPr>
          <w:b/>
          <w:sz w:val="28"/>
          <w:szCs w:val="28"/>
        </w:rPr>
        <w:t xml:space="preserve"> Forum</w:t>
      </w:r>
      <w:r w:rsidR="00A32A4D">
        <w:rPr>
          <w:b/>
          <w:sz w:val="28"/>
          <w:szCs w:val="28"/>
        </w:rPr>
        <w:t xml:space="preserve"> </w:t>
      </w:r>
    </w:p>
    <w:p w:rsidR="00DD4A91" w:rsidRPr="00B55515" w:rsidRDefault="00FC1152" w:rsidP="00DD4A91">
      <w:pPr>
        <w:rPr>
          <w:b/>
        </w:rPr>
      </w:pPr>
      <w:r w:rsidRPr="00B55515">
        <w:rPr>
          <w:b/>
        </w:rPr>
        <w:t>Introduction</w:t>
      </w:r>
    </w:p>
    <w:p w:rsidR="00FC1152" w:rsidRDefault="00F81383" w:rsidP="00C50852">
      <w:pPr>
        <w:spacing w:after="0"/>
      </w:pPr>
      <w:r>
        <w:t>In conducting this comparative analysis for the QQI/ETBI Forum, FESS reviewed the former suite of FET QA guidelines and the new QQI draft</w:t>
      </w:r>
      <w:r w:rsidR="00C50852">
        <w:t xml:space="preserve"> QA guidelines for ETBs, namely:</w:t>
      </w:r>
    </w:p>
    <w:p w:rsidR="00F81383" w:rsidRPr="00324898" w:rsidRDefault="00F81383" w:rsidP="009046D9">
      <w:pPr>
        <w:pStyle w:val="ListParagraph"/>
        <w:numPr>
          <w:ilvl w:val="0"/>
          <w:numId w:val="5"/>
        </w:numPr>
        <w:rPr>
          <w:rFonts w:asciiTheme="minorHAnsi" w:eastAsiaTheme="minorHAnsi" w:hAnsiTheme="minorHAnsi" w:cstheme="minorBidi"/>
          <w:szCs w:val="22"/>
          <w:lang w:val="en-GB"/>
        </w:rPr>
      </w:pPr>
      <w:r w:rsidRPr="00324898">
        <w:rPr>
          <w:rFonts w:asciiTheme="minorHAnsi" w:eastAsiaTheme="minorHAnsi" w:hAnsiTheme="minorHAnsi" w:cstheme="minorBidi"/>
          <w:szCs w:val="22"/>
          <w:lang w:val="en-GB"/>
        </w:rPr>
        <w:t>FETAC Quality Assurance Guidelines for Providers Version 1.3</w:t>
      </w:r>
    </w:p>
    <w:p w:rsidR="00F81383" w:rsidRPr="00324898" w:rsidRDefault="00F81383" w:rsidP="009046D9">
      <w:pPr>
        <w:pStyle w:val="ListParagraph"/>
        <w:numPr>
          <w:ilvl w:val="0"/>
          <w:numId w:val="5"/>
        </w:numPr>
        <w:rPr>
          <w:rFonts w:asciiTheme="minorHAnsi" w:eastAsiaTheme="minorHAnsi" w:hAnsiTheme="minorHAnsi" w:cstheme="minorBidi"/>
          <w:szCs w:val="22"/>
          <w:lang w:val="en-GB"/>
        </w:rPr>
      </w:pPr>
      <w:r w:rsidRPr="00324898">
        <w:rPr>
          <w:rFonts w:asciiTheme="minorHAnsi" w:eastAsiaTheme="minorHAnsi" w:hAnsiTheme="minorHAnsi" w:cstheme="minorBidi"/>
          <w:szCs w:val="22"/>
          <w:lang w:val="en-GB"/>
        </w:rPr>
        <w:t>FETAC Information for Learners: Guidelines for Providers</w:t>
      </w:r>
    </w:p>
    <w:p w:rsidR="00F81383" w:rsidRPr="00324898" w:rsidRDefault="00F81383" w:rsidP="009046D9">
      <w:pPr>
        <w:pStyle w:val="ListParagraph"/>
        <w:numPr>
          <w:ilvl w:val="0"/>
          <w:numId w:val="5"/>
        </w:numPr>
        <w:rPr>
          <w:rFonts w:asciiTheme="minorHAnsi" w:eastAsiaTheme="minorHAnsi" w:hAnsiTheme="minorHAnsi" w:cstheme="minorBidi"/>
          <w:szCs w:val="22"/>
          <w:lang w:val="en-GB"/>
        </w:rPr>
      </w:pPr>
      <w:r w:rsidRPr="00324898">
        <w:rPr>
          <w:rFonts w:asciiTheme="minorHAnsi" w:eastAsiaTheme="minorHAnsi" w:hAnsiTheme="minorHAnsi" w:cstheme="minorBidi"/>
          <w:szCs w:val="22"/>
          <w:lang w:val="en-GB"/>
        </w:rPr>
        <w:t>QQI Quality Assuring Assessment: Guidelines for Providers revised 2013</w:t>
      </w:r>
    </w:p>
    <w:p w:rsidR="00F81383" w:rsidRPr="00C50852" w:rsidRDefault="00F81383" w:rsidP="00F81383">
      <w:pPr>
        <w:pStyle w:val="ListParagraph"/>
        <w:numPr>
          <w:ilvl w:val="0"/>
          <w:numId w:val="5"/>
        </w:numPr>
        <w:rPr>
          <w:rFonts w:asciiTheme="minorHAnsi" w:eastAsiaTheme="minorHAnsi" w:hAnsiTheme="minorHAnsi" w:cstheme="minorBidi"/>
          <w:szCs w:val="22"/>
          <w:lang w:val="en-GB"/>
        </w:rPr>
      </w:pPr>
      <w:r w:rsidRPr="00324898">
        <w:rPr>
          <w:rFonts w:asciiTheme="minorHAnsi" w:eastAsiaTheme="minorHAnsi" w:hAnsiTheme="minorHAnsi" w:cstheme="minorBidi"/>
          <w:szCs w:val="22"/>
          <w:lang w:val="en-GB"/>
        </w:rPr>
        <w:t>QQI Towards a Quality Assurance Framework for ETBs: Quality Assurance Guidelines (Consultative working draft)</w:t>
      </w:r>
    </w:p>
    <w:p w:rsidR="00F81383" w:rsidRDefault="00C50852" w:rsidP="00F81383">
      <w:r>
        <w:t>In conducting the exercise</w:t>
      </w:r>
      <w:r w:rsidR="00F81383">
        <w:t>,</w:t>
      </w:r>
      <w:r>
        <w:t xml:space="preserve"> FESS highlighted what’s new, clarifications required </w:t>
      </w:r>
      <w:r w:rsidR="00F81383">
        <w:t xml:space="preserve">and some suggestions/comments have been made. </w:t>
      </w:r>
    </w:p>
    <w:tbl>
      <w:tblPr>
        <w:tblStyle w:val="TableGrid"/>
        <w:tblW w:w="15026" w:type="dxa"/>
        <w:tblInd w:w="-176" w:type="dxa"/>
        <w:tblLayout w:type="fixed"/>
        <w:tblLook w:val="04A0" w:firstRow="1" w:lastRow="0" w:firstColumn="1" w:lastColumn="0" w:noHBand="0" w:noVBand="1"/>
      </w:tblPr>
      <w:tblGrid>
        <w:gridCol w:w="1844"/>
        <w:gridCol w:w="13182"/>
      </w:tblGrid>
      <w:tr w:rsidR="007C44C1" w:rsidRPr="00627CA9" w:rsidTr="00C50852">
        <w:tc>
          <w:tcPr>
            <w:tcW w:w="1844" w:type="dxa"/>
          </w:tcPr>
          <w:p w:rsidR="007C44C1" w:rsidRPr="00B55515" w:rsidRDefault="007C44C1" w:rsidP="00216A0A">
            <w:pPr>
              <w:rPr>
                <w:b/>
              </w:rPr>
            </w:pPr>
            <w:r w:rsidRPr="00B55515">
              <w:rPr>
                <w:b/>
              </w:rPr>
              <w:t>Headings</w:t>
            </w:r>
          </w:p>
        </w:tc>
        <w:tc>
          <w:tcPr>
            <w:tcW w:w="13182" w:type="dxa"/>
          </w:tcPr>
          <w:p w:rsidR="007C44C1" w:rsidRPr="00993673" w:rsidRDefault="005A3CD0" w:rsidP="007C44C1">
            <w:pPr>
              <w:rPr>
                <w:b/>
              </w:rPr>
            </w:pPr>
            <w:r>
              <w:rPr>
                <w:b/>
              </w:rPr>
              <w:t>Comparison/differences</w:t>
            </w:r>
            <w:r w:rsidR="007C44C1" w:rsidRPr="00993673">
              <w:rPr>
                <w:b/>
              </w:rPr>
              <w:t>/issues arising</w:t>
            </w:r>
            <w:r>
              <w:rPr>
                <w:b/>
              </w:rPr>
              <w:t>/clarification required</w:t>
            </w:r>
            <w:r w:rsidR="007C44C1" w:rsidRPr="00993673">
              <w:rPr>
                <w:b/>
              </w:rPr>
              <w:t>/suggested actions/comments</w:t>
            </w:r>
          </w:p>
        </w:tc>
      </w:tr>
      <w:tr w:rsidR="007C44C1" w:rsidRPr="00627CA9" w:rsidTr="00C50852">
        <w:tc>
          <w:tcPr>
            <w:tcW w:w="1844" w:type="dxa"/>
          </w:tcPr>
          <w:p w:rsidR="007C44C1" w:rsidRPr="00B55515" w:rsidRDefault="00767474" w:rsidP="00767474">
            <w:pPr>
              <w:rPr>
                <w:b/>
              </w:rPr>
            </w:pPr>
            <w:r w:rsidRPr="00B55515">
              <w:rPr>
                <w:b/>
              </w:rPr>
              <w:t>1.</w:t>
            </w:r>
            <w:r w:rsidR="007C44C1" w:rsidRPr="00B55515">
              <w:rPr>
                <w:b/>
              </w:rPr>
              <w:t>Foreword</w:t>
            </w:r>
          </w:p>
          <w:p w:rsidR="007C44C1" w:rsidRPr="00B55515" w:rsidRDefault="007C44C1" w:rsidP="00F772C9">
            <w:pPr>
              <w:rPr>
                <w:b/>
              </w:rPr>
            </w:pPr>
          </w:p>
        </w:tc>
        <w:tc>
          <w:tcPr>
            <w:tcW w:w="13182" w:type="dxa"/>
          </w:tcPr>
          <w:p w:rsidR="005F3FCB" w:rsidRPr="005F3FCB" w:rsidRDefault="005F3FCB" w:rsidP="007541A1">
            <w:pPr>
              <w:rPr>
                <w:rFonts w:cs="Arial"/>
                <w:lang w:eastAsia="ar-SA"/>
              </w:rPr>
            </w:pPr>
            <w:r>
              <w:t xml:space="preserve">The key message here is that </w:t>
            </w:r>
            <w:r w:rsidR="007C44C1" w:rsidRPr="00993673">
              <w:t>Q</w:t>
            </w:r>
            <w:r>
              <w:t xml:space="preserve">uality </w:t>
            </w:r>
            <w:r w:rsidR="007C44C1" w:rsidRPr="00993673">
              <w:t>A</w:t>
            </w:r>
            <w:r>
              <w:t>ssurance</w:t>
            </w:r>
            <w:r w:rsidR="007C44C1" w:rsidRPr="00993673">
              <w:t xml:space="preserve"> is at corporate level</w:t>
            </w:r>
            <w:r w:rsidR="007541A1">
              <w:t>. T</w:t>
            </w:r>
            <w:r>
              <w:t xml:space="preserve">he </w:t>
            </w:r>
            <w:r w:rsidR="007C44C1" w:rsidRPr="00993673">
              <w:rPr>
                <w:rFonts w:cs="Arial"/>
                <w:lang w:eastAsia="ar-SA"/>
              </w:rPr>
              <w:t>guidelines promote the establishment of higher o</w:t>
            </w:r>
            <w:r>
              <w:rPr>
                <w:rFonts w:cs="Arial"/>
                <w:lang w:eastAsia="ar-SA"/>
              </w:rPr>
              <w:t>rder quality assurance processes. New areas/processes are as follows:</w:t>
            </w:r>
          </w:p>
          <w:p w:rsidR="005F3FCB" w:rsidRPr="005F3FCB" w:rsidRDefault="005F3FCB" w:rsidP="009046D9">
            <w:pPr>
              <w:pStyle w:val="ListParagraph"/>
              <w:numPr>
                <w:ilvl w:val="0"/>
                <w:numId w:val="6"/>
              </w:numPr>
              <w:spacing w:after="120"/>
              <w:rPr>
                <w:rFonts w:asciiTheme="minorHAnsi" w:eastAsiaTheme="minorHAnsi" w:hAnsiTheme="minorHAnsi" w:cs="Arial"/>
                <w:szCs w:val="22"/>
                <w:lang w:val="en-GB" w:eastAsia="ar-SA"/>
              </w:rPr>
            </w:pPr>
            <w:r w:rsidRPr="005F3FCB">
              <w:rPr>
                <w:rFonts w:asciiTheme="minorHAnsi" w:eastAsiaTheme="minorHAnsi" w:hAnsiTheme="minorHAnsi" w:cs="Arial"/>
                <w:szCs w:val="22"/>
                <w:lang w:val="en-GB" w:eastAsia="ar-SA"/>
              </w:rPr>
              <w:t xml:space="preserve">Governance structures required to </w:t>
            </w:r>
            <w:r>
              <w:rPr>
                <w:rFonts w:asciiTheme="minorHAnsi" w:eastAsiaTheme="minorHAnsi" w:hAnsiTheme="minorHAnsi" w:cs="Arial"/>
                <w:szCs w:val="22"/>
                <w:lang w:val="en-GB" w:eastAsia="ar-SA"/>
              </w:rPr>
              <w:t>as</w:t>
            </w:r>
            <w:r w:rsidRPr="005F3FCB">
              <w:rPr>
                <w:rFonts w:asciiTheme="minorHAnsi" w:eastAsiaTheme="minorHAnsi" w:hAnsiTheme="minorHAnsi" w:cs="Arial"/>
                <w:szCs w:val="22"/>
                <w:lang w:val="en-GB" w:eastAsia="ar-SA"/>
              </w:rPr>
              <w:t xml:space="preserve">sure oversight of policy development and implementation. </w:t>
            </w:r>
          </w:p>
          <w:p w:rsidR="005F3FCB" w:rsidRPr="005F3FCB" w:rsidRDefault="005F3FCB" w:rsidP="009046D9">
            <w:pPr>
              <w:pStyle w:val="ListParagraph"/>
              <w:numPr>
                <w:ilvl w:val="0"/>
                <w:numId w:val="6"/>
              </w:numPr>
              <w:spacing w:after="120"/>
            </w:pPr>
            <w:r w:rsidRPr="005F3FCB">
              <w:rPr>
                <w:rFonts w:asciiTheme="minorHAnsi" w:eastAsiaTheme="minorHAnsi" w:hAnsiTheme="minorHAnsi" w:cs="Arial"/>
                <w:szCs w:val="22"/>
                <w:lang w:val="en-GB" w:eastAsia="ar-SA"/>
              </w:rPr>
              <w:t>Policy development</w:t>
            </w:r>
            <w:r w:rsidR="007C44C1" w:rsidRPr="005F3FCB">
              <w:rPr>
                <w:rFonts w:asciiTheme="minorHAnsi" w:eastAsiaTheme="minorHAnsi" w:hAnsiTheme="minorHAnsi" w:cs="Arial"/>
                <w:szCs w:val="22"/>
                <w:lang w:val="en-GB" w:eastAsia="ar-SA"/>
              </w:rPr>
              <w:t xml:space="preserve"> to ensure transparency and consistency across </w:t>
            </w:r>
            <w:r w:rsidRPr="005F3FCB">
              <w:rPr>
                <w:rFonts w:asciiTheme="minorHAnsi" w:eastAsiaTheme="minorHAnsi" w:hAnsiTheme="minorHAnsi" w:cs="Arial"/>
                <w:szCs w:val="22"/>
                <w:lang w:val="en-GB" w:eastAsia="ar-SA"/>
              </w:rPr>
              <w:t>the spread of the ETB provision.</w:t>
            </w:r>
          </w:p>
          <w:p w:rsidR="005F3FCB" w:rsidRPr="005F3FCB" w:rsidRDefault="007C44C1" w:rsidP="009046D9">
            <w:pPr>
              <w:pStyle w:val="ListParagraph"/>
              <w:numPr>
                <w:ilvl w:val="0"/>
                <w:numId w:val="6"/>
              </w:numPr>
              <w:spacing w:after="120"/>
              <w:rPr>
                <w:rFonts w:asciiTheme="minorHAnsi" w:eastAsiaTheme="minorHAnsi" w:hAnsiTheme="minorHAnsi" w:cs="Arial"/>
                <w:szCs w:val="22"/>
                <w:lang w:val="en-GB" w:eastAsia="ar-SA"/>
              </w:rPr>
            </w:pPr>
            <w:r w:rsidRPr="00C50852">
              <w:rPr>
                <w:rFonts w:asciiTheme="minorHAnsi" w:eastAsiaTheme="minorHAnsi" w:hAnsiTheme="minorHAnsi" w:cs="Arial"/>
                <w:szCs w:val="22"/>
                <w:lang w:val="en-GB" w:eastAsia="ar-SA"/>
              </w:rPr>
              <w:t xml:space="preserve">Sub-contracting/procuring programme delivery – linked to </w:t>
            </w:r>
            <w:r w:rsidR="00C50852">
              <w:rPr>
                <w:rFonts w:asciiTheme="minorHAnsi" w:eastAsiaTheme="minorHAnsi" w:hAnsiTheme="minorHAnsi" w:cs="Arial"/>
                <w:szCs w:val="22"/>
                <w:lang w:val="en-GB" w:eastAsia="ar-SA"/>
              </w:rPr>
              <w:t>c</w:t>
            </w:r>
            <w:r w:rsidRPr="005F3FCB">
              <w:rPr>
                <w:rFonts w:asciiTheme="minorHAnsi" w:eastAsiaTheme="minorHAnsi" w:hAnsiTheme="minorHAnsi" w:cs="Arial"/>
                <w:szCs w:val="22"/>
                <w:lang w:val="en-GB" w:eastAsia="ar-SA"/>
              </w:rPr>
              <w:t>ollaborative provision: to ensure that for any ETB programme(s) wholly or partly delivered by another provider, there is a formal agreement setting out each party’s responsibilities.</w:t>
            </w:r>
          </w:p>
          <w:p w:rsidR="005F3FCB" w:rsidRPr="005F3FCB" w:rsidRDefault="005F3FCB" w:rsidP="009046D9">
            <w:pPr>
              <w:pStyle w:val="ListParagraph"/>
              <w:numPr>
                <w:ilvl w:val="0"/>
                <w:numId w:val="6"/>
              </w:numPr>
              <w:spacing w:after="120"/>
              <w:rPr>
                <w:rFonts w:asciiTheme="minorHAnsi" w:eastAsiaTheme="minorHAnsi" w:hAnsiTheme="minorHAnsi" w:cs="Arial"/>
                <w:szCs w:val="22"/>
                <w:lang w:val="en-GB" w:eastAsia="ar-SA"/>
              </w:rPr>
            </w:pPr>
            <w:r w:rsidRPr="005F3FCB">
              <w:rPr>
                <w:rFonts w:asciiTheme="minorHAnsi" w:eastAsiaTheme="minorHAnsi" w:hAnsiTheme="minorHAnsi" w:cs="Arial"/>
                <w:szCs w:val="22"/>
                <w:lang w:val="en-GB" w:eastAsia="ar-SA"/>
              </w:rPr>
              <w:t>Information management system required</w:t>
            </w:r>
          </w:p>
          <w:p w:rsidR="007C44C1" w:rsidRPr="005F3FCB" w:rsidRDefault="005F3FCB" w:rsidP="00055CE1">
            <w:pPr>
              <w:pStyle w:val="ListParagraph"/>
              <w:numPr>
                <w:ilvl w:val="0"/>
                <w:numId w:val="6"/>
              </w:numPr>
              <w:ind w:left="714" w:hanging="357"/>
              <w:rPr>
                <w:rFonts w:asciiTheme="minorHAnsi" w:eastAsiaTheme="minorHAnsi" w:hAnsiTheme="minorHAnsi" w:cs="Arial"/>
                <w:szCs w:val="22"/>
                <w:lang w:val="en-GB" w:eastAsia="ar-SA"/>
              </w:rPr>
            </w:pPr>
            <w:r w:rsidRPr="005F3FCB">
              <w:rPr>
                <w:rFonts w:asciiTheme="minorHAnsi" w:eastAsiaTheme="minorHAnsi" w:hAnsiTheme="minorHAnsi" w:cs="Arial"/>
                <w:szCs w:val="22"/>
                <w:lang w:val="en-GB" w:eastAsia="ar-SA"/>
              </w:rPr>
              <w:t>Monitoring</w:t>
            </w:r>
            <w:r w:rsidR="007C44C1" w:rsidRPr="005F3FCB">
              <w:rPr>
                <w:rFonts w:asciiTheme="minorHAnsi" w:eastAsiaTheme="minorHAnsi" w:hAnsiTheme="minorHAnsi" w:cs="Arial"/>
                <w:szCs w:val="22"/>
                <w:lang w:val="en-GB" w:eastAsia="ar-SA"/>
              </w:rPr>
              <w:t xml:space="preserve"> to </w:t>
            </w:r>
            <w:r>
              <w:rPr>
                <w:rFonts w:asciiTheme="minorHAnsi" w:eastAsiaTheme="minorHAnsi" w:hAnsiTheme="minorHAnsi" w:cs="Arial"/>
                <w:szCs w:val="22"/>
                <w:lang w:val="en-GB" w:eastAsia="ar-SA"/>
              </w:rPr>
              <w:t>as</w:t>
            </w:r>
            <w:r w:rsidR="007C44C1" w:rsidRPr="005F3FCB">
              <w:rPr>
                <w:rFonts w:asciiTheme="minorHAnsi" w:eastAsiaTheme="minorHAnsi" w:hAnsiTheme="minorHAnsi" w:cs="Arial"/>
                <w:szCs w:val="22"/>
                <w:lang w:val="en-GB" w:eastAsia="ar-SA"/>
              </w:rPr>
              <w:t>sure that governance structures have adequate information to identify areas of potential concern and a</w:t>
            </w:r>
            <w:r w:rsidRPr="005F3FCB">
              <w:rPr>
                <w:rFonts w:asciiTheme="minorHAnsi" w:eastAsiaTheme="minorHAnsi" w:hAnsiTheme="minorHAnsi" w:cs="Arial"/>
                <w:szCs w:val="22"/>
                <w:lang w:val="en-GB" w:eastAsia="ar-SA"/>
              </w:rPr>
              <w:t>reas of excellence – link to Information Management System</w:t>
            </w:r>
          </w:p>
          <w:p w:rsidR="007541A1" w:rsidRPr="00B55515" w:rsidRDefault="007541A1" w:rsidP="00B55515">
            <w:pPr>
              <w:rPr>
                <w:rFonts w:cs="Arial"/>
                <w:b/>
                <w:i/>
                <w:lang w:eastAsia="ar-SA"/>
              </w:rPr>
            </w:pPr>
            <w:r w:rsidRPr="00B55515">
              <w:rPr>
                <w:rFonts w:cs="Arial"/>
                <w:b/>
                <w:i/>
                <w:lang w:eastAsia="ar-SA"/>
              </w:rPr>
              <w:t>Clarification</w:t>
            </w:r>
            <w:r w:rsidR="00B55515" w:rsidRPr="00B55515">
              <w:rPr>
                <w:rFonts w:cs="Arial"/>
                <w:b/>
                <w:i/>
                <w:lang w:eastAsia="ar-SA"/>
              </w:rPr>
              <w:t xml:space="preserve"> needed</w:t>
            </w:r>
            <w:r w:rsidRPr="00B55515">
              <w:rPr>
                <w:rFonts w:cs="Arial"/>
                <w:b/>
                <w:i/>
                <w:lang w:eastAsia="ar-SA"/>
              </w:rPr>
              <w:t>:</w:t>
            </w:r>
          </w:p>
          <w:p w:rsidR="00B55515" w:rsidRPr="00993673" w:rsidRDefault="005F3FCB" w:rsidP="00B55515">
            <w:r w:rsidRPr="005F3FCB">
              <w:rPr>
                <w:rFonts w:cs="Arial"/>
                <w:lang w:eastAsia="ar-SA"/>
              </w:rPr>
              <w:t>Programme Development: Integrating</w:t>
            </w:r>
            <w:r w:rsidRPr="00993673">
              <w:t xml:space="preserve"> the PAA with QA system</w:t>
            </w:r>
            <w:r>
              <w:t>?</w:t>
            </w:r>
          </w:p>
        </w:tc>
      </w:tr>
      <w:tr w:rsidR="007C44C1" w:rsidRPr="00627CA9" w:rsidTr="00C50852">
        <w:tc>
          <w:tcPr>
            <w:tcW w:w="1844" w:type="dxa"/>
          </w:tcPr>
          <w:p w:rsidR="007C44C1" w:rsidRPr="00B55515" w:rsidRDefault="00767474" w:rsidP="00C50852">
            <w:pPr>
              <w:pStyle w:val="TOC2"/>
              <w:rPr>
                <w:b/>
              </w:rPr>
            </w:pPr>
            <w:r w:rsidRPr="00B55515">
              <w:rPr>
                <w:b/>
              </w:rPr>
              <w:t>2.</w:t>
            </w:r>
            <w:r w:rsidR="007C44C1" w:rsidRPr="00B55515">
              <w:rPr>
                <w:b/>
              </w:rPr>
              <w:t xml:space="preserve">Quality Assurance in </w:t>
            </w:r>
            <w:r w:rsidR="00C50852">
              <w:rPr>
                <w:b/>
              </w:rPr>
              <w:t>FET</w:t>
            </w:r>
            <w:r w:rsidR="007C44C1" w:rsidRPr="00B55515">
              <w:rPr>
                <w:rFonts w:eastAsiaTheme="minorEastAsia"/>
                <w:b/>
                <w:lang w:eastAsia="en-GB"/>
              </w:rPr>
              <w:tab/>
            </w:r>
          </w:p>
        </w:tc>
        <w:tc>
          <w:tcPr>
            <w:tcW w:w="13182" w:type="dxa"/>
          </w:tcPr>
          <w:p w:rsidR="007541A1" w:rsidRPr="00B55515" w:rsidRDefault="007541A1" w:rsidP="007541A1">
            <w:pPr>
              <w:rPr>
                <w:rFonts w:cs="Arial"/>
                <w:b/>
                <w:i/>
                <w:lang w:eastAsia="ar-SA"/>
              </w:rPr>
            </w:pPr>
            <w:r w:rsidRPr="00B55515">
              <w:rPr>
                <w:rFonts w:cs="Arial"/>
                <w:b/>
                <w:i/>
                <w:lang w:eastAsia="ar-SA"/>
              </w:rPr>
              <w:t xml:space="preserve">What’s new: </w:t>
            </w:r>
          </w:p>
          <w:p w:rsidR="007541A1" w:rsidRPr="007541A1" w:rsidRDefault="007541A1" w:rsidP="009046D9">
            <w:pPr>
              <w:pStyle w:val="ListParagraph"/>
              <w:numPr>
                <w:ilvl w:val="0"/>
                <w:numId w:val="7"/>
              </w:numPr>
              <w:rPr>
                <w:rFonts w:asciiTheme="minorHAnsi" w:eastAsiaTheme="minorHAnsi" w:hAnsiTheme="minorHAnsi" w:cs="Arial"/>
                <w:szCs w:val="22"/>
                <w:lang w:val="en-GB" w:eastAsia="ar-SA"/>
              </w:rPr>
            </w:pPr>
            <w:r w:rsidRPr="007541A1">
              <w:rPr>
                <w:rFonts w:asciiTheme="minorHAnsi" w:eastAsiaTheme="minorHAnsi" w:hAnsiTheme="minorHAnsi" w:cs="Arial"/>
                <w:szCs w:val="22"/>
                <w:lang w:val="en-GB" w:eastAsia="ar-SA"/>
              </w:rPr>
              <w:t>Mention of finance in relation to QA is new</w:t>
            </w:r>
          </w:p>
          <w:p w:rsidR="007541A1" w:rsidRPr="00B55515" w:rsidRDefault="007541A1" w:rsidP="00216A0A">
            <w:pPr>
              <w:rPr>
                <w:rFonts w:cs="Arial"/>
                <w:b/>
                <w:i/>
                <w:lang w:eastAsia="ar-SA"/>
              </w:rPr>
            </w:pPr>
            <w:r w:rsidRPr="00B55515">
              <w:rPr>
                <w:rFonts w:cs="Arial"/>
                <w:b/>
                <w:i/>
                <w:lang w:eastAsia="ar-SA"/>
              </w:rPr>
              <w:t>Comment:</w:t>
            </w:r>
          </w:p>
          <w:p w:rsidR="007C44C1" w:rsidRPr="00993673" w:rsidRDefault="007541A1" w:rsidP="009046D9">
            <w:pPr>
              <w:pStyle w:val="ListParagraph"/>
              <w:numPr>
                <w:ilvl w:val="0"/>
                <w:numId w:val="7"/>
              </w:numPr>
              <w:ind w:left="714" w:hanging="357"/>
            </w:pPr>
            <w:r w:rsidRPr="007541A1">
              <w:rPr>
                <w:rFonts w:asciiTheme="minorHAnsi" w:eastAsiaTheme="minorHAnsi" w:hAnsiTheme="minorHAnsi" w:cs="Arial"/>
                <w:szCs w:val="22"/>
                <w:lang w:val="en-GB" w:eastAsia="ar-SA"/>
              </w:rPr>
              <w:t>U</w:t>
            </w:r>
            <w:r w:rsidR="007C44C1" w:rsidRPr="007541A1">
              <w:rPr>
                <w:rFonts w:asciiTheme="minorHAnsi" w:eastAsiaTheme="minorHAnsi" w:hAnsiTheme="minorHAnsi" w:cs="Arial"/>
                <w:szCs w:val="22"/>
                <w:lang w:val="en-GB" w:eastAsia="ar-SA"/>
              </w:rPr>
              <w:t>se of language</w:t>
            </w:r>
            <w:r w:rsidRPr="007541A1">
              <w:rPr>
                <w:rFonts w:asciiTheme="minorHAnsi" w:eastAsiaTheme="minorHAnsi" w:hAnsiTheme="minorHAnsi" w:cs="Arial"/>
                <w:szCs w:val="22"/>
                <w:lang w:val="en-GB" w:eastAsia="ar-SA"/>
              </w:rPr>
              <w:t xml:space="preserve"> in referring to the </w:t>
            </w:r>
            <w:r w:rsidR="007C44C1" w:rsidRPr="007541A1">
              <w:rPr>
                <w:rFonts w:asciiTheme="minorHAnsi" w:eastAsiaTheme="minorHAnsi" w:hAnsiTheme="minorHAnsi" w:cs="Arial"/>
                <w:szCs w:val="22"/>
                <w:lang w:val="en-GB" w:eastAsia="ar-SA"/>
              </w:rPr>
              <w:t>term</w:t>
            </w:r>
            <w:r>
              <w:rPr>
                <w:rFonts w:asciiTheme="minorHAnsi" w:eastAsiaTheme="minorHAnsi" w:hAnsiTheme="minorHAnsi" w:cs="Arial"/>
                <w:szCs w:val="22"/>
                <w:lang w:val="en-GB" w:eastAsia="ar-SA"/>
              </w:rPr>
              <w:t>s</w:t>
            </w:r>
            <w:r w:rsidR="007C44C1" w:rsidRPr="007541A1">
              <w:rPr>
                <w:rFonts w:asciiTheme="minorHAnsi" w:eastAsiaTheme="minorHAnsi" w:hAnsiTheme="minorHAnsi" w:cs="Arial"/>
                <w:szCs w:val="22"/>
                <w:lang w:val="en-GB" w:eastAsia="ar-SA"/>
              </w:rPr>
              <w:t xml:space="preserve"> </w:t>
            </w:r>
            <w:r w:rsidRPr="007541A1">
              <w:rPr>
                <w:rFonts w:asciiTheme="minorHAnsi" w:eastAsiaTheme="minorHAnsi" w:hAnsiTheme="minorHAnsi" w:cs="Arial"/>
                <w:szCs w:val="22"/>
                <w:lang w:val="en-GB" w:eastAsia="ar-SA"/>
              </w:rPr>
              <w:t>“</w:t>
            </w:r>
            <w:r w:rsidR="007C44C1" w:rsidRPr="007541A1">
              <w:rPr>
                <w:rFonts w:asciiTheme="minorHAnsi" w:eastAsiaTheme="minorHAnsi" w:hAnsiTheme="minorHAnsi" w:cs="Arial"/>
                <w:szCs w:val="22"/>
                <w:lang w:val="en-GB" w:eastAsia="ar-SA"/>
              </w:rPr>
              <w:t>product</w:t>
            </w:r>
            <w:r w:rsidRPr="007541A1">
              <w:rPr>
                <w:rFonts w:asciiTheme="minorHAnsi" w:eastAsiaTheme="minorHAnsi" w:hAnsiTheme="minorHAnsi" w:cs="Arial"/>
                <w:szCs w:val="22"/>
                <w:lang w:val="en-GB" w:eastAsia="ar-SA"/>
              </w:rPr>
              <w:t>”</w:t>
            </w:r>
            <w:r>
              <w:rPr>
                <w:rFonts w:asciiTheme="minorHAnsi" w:eastAsiaTheme="minorHAnsi" w:hAnsiTheme="minorHAnsi" w:cs="Arial"/>
                <w:szCs w:val="22"/>
                <w:lang w:val="en-GB" w:eastAsia="ar-SA"/>
              </w:rPr>
              <w:t xml:space="preserve"> and “outputs”</w:t>
            </w:r>
          </w:p>
        </w:tc>
      </w:tr>
      <w:tr w:rsidR="00767474" w:rsidRPr="00627CA9" w:rsidTr="00C50852">
        <w:tc>
          <w:tcPr>
            <w:tcW w:w="1844" w:type="dxa"/>
          </w:tcPr>
          <w:p w:rsidR="00767474" w:rsidRPr="00B55515" w:rsidRDefault="00767474" w:rsidP="00216A0A">
            <w:pPr>
              <w:rPr>
                <w:b/>
              </w:rPr>
            </w:pPr>
            <w:r w:rsidRPr="00B55515">
              <w:rPr>
                <w:b/>
              </w:rPr>
              <w:t>3.Purpose of Guidelines</w:t>
            </w:r>
          </w:p>
        </w:tc>
        <w:tc>
          <w:tcPr>
            <w:tcW w:w="13182" w:type="dxa"/>
          </w:tcPr>
          <w:p w:rsidR="00767474" w:rsidRDefault="00767474" w:rsidP="00216A0A">
            <w:r>
              <w:t>No obvious change</w:t>
            </w:r>
          </w:p>
        </w:tc>
      </w:tr>
      <w:tr w:rsidR="007C44C1" w:rsidRPr="00627CA9" w:rsidTr="00C50852">
        <w:tc>
          <w:tcPr>
            <w:tcW w:w="1844" w:type="dxa"/>
          </w:tcPr>
          <w:p w:rsidR="007C44C1" w:rsidRPr="00B55515" w:rsidRDefault="00767474" w:rsidP="00216A0A">
            <w:pPr>
              <w:rPr>
                <w:b/>
              </w:rPr>
            </w:pPr>
            <w:r w:rsidRPr="00B55515">
              <w:rPr>
                <w:b/>
              </w:rPr>
              <w:t>4.</w:t>
            </w:r>
            <w:r w:rsidR="007C44C1" w:rsidRPr="00B55515">
              <w:rPr>
                <w:b/>
              </w:rPr>
              <w:t>Principles</w:t>
            </w:r>
          </w:p>
        </w:tc>
        <w:tc>
          <w:tcPr>
            <w:tcW w:w="13182" w:type="dxa"/>
          </w:tcPr>
          <w:p w:rsidR="007541A1" w:rsidRPr="00B55515" w:rsidRDefault="007541A1" w:rsidP="00216A0A">
            <w:pPr>
              <w:rPr>
                <w:b/>
                <w:i/>
              </w:rPr>
            </w:pPr>
            <w:r w:rsidRPr="00B55515">
              <w:rPr>
                <w:b/>
                <w:i/>
              </w:rPr>
              <w:t>What’s new:</w:t>
            </w:r>
          </w:p>
          <w:p w:rsidR="007541A1" w:rsidRPr="00C16B21" w:rsidRDefault="007541A1" w:rsidP="009046D9">
            <w:pPr>
              <w:pStyle w:val="ListParagraph"/>
              <w:numPr>
                <w:ilvl w:val="0"/>
                <w:numId w:val="7"/>
              </w:numPr>
              <w:rPr>
                <w:rFonts w:asciiTheme="minorHAnsi" w:eastAsiaTheme="minorHAnsi" w:hAnsiTheme="minorHAnsi" w:cstheme="minorBidi"/>
                <w:szCs w:val="22"/>
                <w:lang w:val="en-GB"/>
              </w:rPr>
            </w:pPr>
            <w:r w:rsidRPr="00C16B21">
              <w:rPr>
                <w:rFonts w:asciiTheme="minorHAnsi" w:eastAsiaTheme="minorHAnsi" w:hAnsiTheme="minorHAnsi" w:cstheme="minorBidi"/>
                <w:szCs w:val="22"/>
                <w:lang w:val="en-GB"/>
              </w:rPr>
              <w:t>Equality principle omitted – should this be an explicitly st</w:t>
            </w:r>
            <w:r w:rsidR="00C50852">
              <w:rPr>
                <w:rFonts w:asciiTheme="minorHAnsi" w:eastAsiaTheme="minorHAnsi" w:hAnsiTheme="minorHAnsi" w:cstheme="minorBidi"/>
                <w:szCs w:val="22"/>
                <w:lang w:val="en-GB"/>
              </w:rPr>
              <w:t>ated principle underpinning QA?</w:t>
            </w:r>
          </w:p>
          <w:p w:rsidR="007541A1" w:rsidRPr="00C16B21" w:rsidRDefault="007541A1" w:rsidP="009046D9">
            <w:pPr>
              <w:pStyle w:val="ListParagraph"/>
              <w:numPr>
                <w:ilvl w:val="0"/>
                <w:numId w:val="7"/>
              </w:numPr>
              <w:rPr>
                <w:rFonts w:asciiTheme="minorHAnsi" w:eastAsiaTheme="minorHAnsi" w:hAnsiTheme="minorHAnsi" w:cstheme="minorBidi"/>
                <w:szCs w:val="22"/>
                <w:lang w:val="en-GB"/>
              </w:rPr>
            </w:pPr>
            <w:r w:rsidRPr="00C16B21">
              <w:rPr>
                <w:rFonts w:asciiTheme="minorHAnsi" w:eastAsiaTheme="minorHAnsi" w:hAnsiTheme="minorHAnsi" w:cstheme="minorBidi"/>
                <w:szCs w:val="22"/>
                <w:lang w:val="en-GB"/>
              </w:rPr>
              <w:t>Consistency also not explicitly stated as a principle</w:t>
            </w:r>
          </w:p>
          <w:p w:rsidR="007541A1" w:rsidRPr="00C16B21" w:rsidRDefault="007541A1" w:rsidP="009046D9">
            <w:pPr>
              <w:pStyle w:val="ListParagraph"/>
              <w:numPr>
                <w:ilvl w:val="0"/>
                <w:numId w:val="7"/>
              </w:numPr>
              <w:rPr>
                <w:rFonts w:asciiTheme="minorHAnsi" w:eastAsiaTheme="minorHAnsi" w:hAnsiTheme="minorHAnsi" w:cstheme="minorBidi"/>
                <w:szCs w:val="22"/>
                <w:lang w:val="en-GB"/>
              </w:rPr>
            </w:pPr>
            <w:r w:rsidRPr="00C16B21">
              <w:rPr>
                <w:rFonts w:asciiTheme="minorHAnsi" w:eastAsiaTheme="minorHAnsi" w:hAnsiTheme="minorHAnsi" w:cstheme="minorBidi"/>
                <w:szCs w:val="22"/>
                <w:lang w:val="en-GB"/>
              </w:rPr>
              <w:t xml:space="preserve">Resources explicitly listed as a principle </w:t>
            </w:r>
          </w:p>
          <w:p w:rsidR="007C44C1" w:rsidRPr="00B55515" w:rsidRDefault="00C50852" w:rsidP="00216A0A">
            <w:pPr>
              <w:rPr>
                <w:b/>
                <w:i/>
              </w:rPr>
            </w:pPr>
            <w:r>
              <w:rPr>
                <w:b/>
                <w:i/>
              </w:rPr>
              <w:t>Comment</w:t>
            </w:r>
            <w:r w:rsidR="007541A1" w:rsidRPr="00B55515">
              <w:rPr>
                <w:b/>
                <w:i/>
              </w:rPr>
              <w:t>:</w:t>
            </w:r>
          </w:p>
          <w:p w:rsidR="007C44C1" w:rsidRPr="00C16B21" w:rsidRDefault="007C44C1" w:rsidP="009046D9">
            <w:pPr>
              <w:pStyle w:val="ListParagraph"/>
              <w:numPr>
                <w:ilvl w:val="0"/>
                <w:numId w:val="8"/>
              </w:numPr>
              <w:rPr>
                <w:rFonts w:asciiTheme="minorHAnsi" w:eastAsiaTheme="minorHAnsi" w:hAnsiTheme="minorHAnsi" w:cstheme="minorBidi"/>
                <w:szCs w:val="22"/>
                <w:lang w:val="en-GB"/>
              </w:rPr>
            </w:pPr>
            <w:r w:rsidRPr="00C16B21">
              <w:rPr>
                <w:rFonts w:asciiTheme="minorHAnsi" w:eastAsiaTheme="minorHAnsi" w:hAnsiTheme="minorHAnsi" w:cstheme="minorBidi"/>
                <w:szCs w:val="22"/>
                <w:lang w:val="en-GB"/>
              </w:rPr>
              <w:t>Should state that quality and fair/consistent system should enhance transparency</w:t>
            </w:r>
          </w:p>
        </w:tc>
      </w:tr>
      <w:tr w:rsidR="00767474" w:rsidRPr="00627CA9" w:rsidTr="00C50852">
        <w:trPr>
          <w:trHeight w:val="543"/>
        </w:trPr>
        <w:tc>
          <w:tcPr>
            <w:tcW w:w="1844" w:type="dxa"/>
            <w:vMerge w:val="restart"/>
          </w:tcPr>
          <w:p w:rsidR="00767474" w:rsidRPr="00B55515" w:rsidRDefault="00767474" w:rsidP="00216A0A">
            <w:pPr>
              <w:rPr>
                <w:b/>
              </w:rPr>
            </w:pPr>
            <w:r w:rsidRPr="00B55515">
              <w:rPr>
                <w:b/>
              </w:rPr>
              <w:lastRenderedPageBreak/>
              <w:t>5.Components of an ETB Provider’s Quality Assurance System</w:t>
            </w:r>
          </w:p>
        </w:tc>
        <w:tc>
          <w:tcPr>
            <w:tcW w:w="13182" w:type="dxa"/>
          </w:tcPr>
          <w:p w:rsidR="00767474" w:rsidRPr="00C16B21" w:rsidRDefault="00767474" w:rsidP="00216A0A">
            <w:pPr>
              <w:rPr>
                <w:b/>
              </w:rPr>
            </w:pPr>
            <w:r w:rsidRPr="00C16B21">
              <w:rPr>
                <w:b/>
              </w:rPr>
              <w:t>5.1 Overview</w:t>
            </w:r>
          </w:p>
          <w:p w:rsidR="00767474" w:rsidRPr="00C16B21" w:rsidRDefault="00767474" w:rsidP="00216A0A">
            <w:pPr>
              <w:rPr>
                <w:b/>
                <w:i/>
              </w:rPr>
            </w:pPr>
            <w:r w:rsidRPr="00C16B21">
              <w:rPr>
                <w:b/>
                <w:i/>
              </w:rPr>
              <w:t>What’s new:</w:t>
            </w:r>
          </w:p>
          <w:p w:rsidR="008A6105" w:rsidRPr="00993673" w:rsidRDefault="00767474" w:rsidP="008A6105">
            <w:r w:rsidRPr="00993673">
              <w:t>Previously there was no formal requirement for an information management system – the development of this is key</w:t>
            </w:r>
            <w:r w:rsidR="008A6105" w:rsidRPr="00993673">
              <w:t xml:space="preserve"> </w:t>
            </w:r>
          </w:p>
          <w:p w:rsidR="00767474" w:rsidRPr="00993673" w:rsidRDefault="00767474" w:rsidP="00216A0A">
            <w:r w:rsidRPr="00993673">
              <w:t>Self- evaluation and improvement appears to be two pronged:</w:t>
            </w:r>
          </w:p>
          <w:p w:rsidR="00767474" w:rsidRPr="00C16B21" w:rsidRDefault="00767474" w:rsidP="009046D9">
            <w:pPr>
              <w:pStyle w:val="ListParagraph"/>
              <w:numPr>
                <w:ilvl w:val="0"/>
                <w:numId w:val="1"/>
              </w:numPr>
              <w:rPr>
                <w:rFonts w:asciiTheme="minorHAnsi" w:eastAsiaTheme="minorHAnsi" w:hAnsiTheme="minorHAnsi" w:cstheme="minorBidi"/>
                <w:szCs w:val="22"/>
                <w:lang w:val="en-GB"/>
              </w:rPr>
            </w:pPr>
            <w:r w:rsidRPr="00C16B21">
              <w:rPr>
                <w:rFonts w:asciiTheme="minorHAnsi" w:eastAsiaTheme="minorHAnsi" w:hAnsiTheme="minorHAnsi" w:cstheme="minorBidi"/>
                <w:szCs w:val="22"/>
                <w:lang w:val="en-GB"/>
              </w:rPr>
              <w:t>The quality of programmes</w:t>
            </w:r>
          </w:p>
          <w:p w:rsidR="00767474" w:rsidRPr="00C16B21" w:rsidRDefault="00767474" w:rsidP="009046D9">
            <w:pPr>
              <w:pStyle w:val="ListParagraph"/>
              <w:numPr>
                <w:ilvl w:val="0"/>
                <w:numId w:val="1"/>
              </w:numPr>
              <w:rPr>
                <w:rFonts w:asciiTheme="minorHAnsi" w:eastAsiaTheme="minorHAnsi" w:hAnsiTheme="minorHAnsi" w:cstheme="minorBidi"/>
                <w:szCs w:val="22"/>
                <w:lang w:val="en-GB"/>
              </w:rPr>
            </w:pPr>
            <w:r w:rsidRPr="00C16B21">
              <w:rPr>
                <w:rFonts w:asciiTheme="minorHAnsi" w:eastAsiaTheme="minorHAnsi" w:hAnsiTheme="minorHAnsi" w:cstheme="minorBidi"/>
                <w:szCs w:val="22"/>
                <w:lang w:val="en-GB"/>
              </w:rPr>
              <w:t>Institutional QA</w:t>
            </w:r>
            <w:r w:rsidR="008A6105" w:rsidRPr="00C16B21">
              <w:rPr>
                <w:rFonts w:asciiTheme="minorHAnsi" w:eastAsiaTheme="minorHAnsi" w:hAnsiTheme="minorHAnsi" w:cstheme="minorBidi"/>
                <w:szCs w:val="22"/>
                <w:lang w:val="en-GB"/>
              </w:rPr>
              <w:t xml:space="preserve"> - </w:t>
            </w:r>
            <w:r w:rsidRPr="00C16B21">
              <w:rPr>
                <w:rFonts w:asciiTheme="minorHAnsi" w:eastAsiaTheme="minorHAnsi" w:hAnsiTheme="minorHAnsi" w:cstheme="minorBidi"/>
                <w:szCs w:val="22"/>
                <w:lang w:val="en-GB"/>
              </w:rPr>
              <w:t xml:space="preserve">Does </w:t>
            </w:r>
            <w:r w:rsidR="008A6105" w:rsidRPr="00C16B21">
              <w:rPr>
                <w:rFonts w:asciiTheme="minorHAnsi" w:eastAsiaTheme="minorHAnsi" w:hAnsiTheme="minorHAnsi" w:cstheme="minorBidi"/>
                <w:szCs w:val="22"/>
                <w:lang w:val="en-GB"/>
              </w:rPr>
              <w:t>this</w:t>
            </w:r>
            <w:r w:rsidRPr="00C16B21">
              <w:rPr>
                <w:rFonts w:asciiTheme="minorHAnsi" w:eastAsiaTheme="minorHAnsi" w:hAnsiTheme="minorHAnsi" w:cstheme="minorBidi"/>
                <w:szCs w:val="22"/>
                <w:lang w:val="en-GB"/>
              </w:rPr>
              <w:t xml:space="preserve"> replace the QA review cycle?</w:t>
            </w:r>
          </w:p>
          <w:p w:rsidR="00767474" w:rsidRPr="00C16B21" w:rsidRDefault="00767474" w:rsidP="00767474">
            <w:pPr>
              <w:rPr>
                <w:b/>
                <w:i/>
              </w:rPr>
            </w:pPr>
            <w:r w:rsidRPr="00C16B21">
              <w:rPr>
                <w:b/>
                <w:i/>
              </w:rPr>
              <w:t>Comment:</w:t>
            </w:r>
          </w:p>
          <w:p w:rsidR="00055CE1" w:rsidRDefault="00055CE1" w:rsidP="00055CE1">
            <w:r>
              <w:t xml:space="preserve">Will the </w:t>
            </w:r>
            <w:r w:rsidRPr="00993673">
              <w:t xml:space="preserve">PLSS </w:t>
            </w:r>
            <w:r>
              <w:t>complement the ETB Information management system</w:t>
            </w:r>
            <w:r w:rsidRPr="00993673">
              <w:t>?</w:t>
            </w:r>
          </w:p>
          <w:p w:rsidR="00767474" w:rsidRPr="00993673" w:rsidRDefault="00767474" w:rsidP="008A6105">
            <w:r>
              <w:t>Re-emphasised the role of the ETB as a provider with governance structures in place.</w:t>
            </w:r>
          </w:p>
        </w:tc>
      </w:tr>
      <w:tr w:rsidR="00767474" w:rsidRPr="00627CA9" w:rsidTr="00C50852">
        <w:trPr>
          <w:trHeight w:val="537"/>
        </w:trPr>
        <w:tc>
          <w:tcPr>
            <w:tcW w:w="1844" w:type="dxa"/>
            <w:vMerge/>
          </w:tcPr>
          <w:p w:rsidR="00767474" w:rsidRPr="00B55515" w:rsidRDefault="00767474" w:rsidP="00216A0A">
            <w:pPr>
              <w:rPr>
                <w:b/>
              </w:rPr>
            </w:pPr>
          </w:p>
        </w:tc>
        <w:tc>
          <w:tcPr>
            <w:tcW w:w="13182" w:type="dxa"/>
          </w:tcPr>
          <w:p w:rsidR="00767474" w:rsidRPr="00C16B21" w:rsidRDefault="00767474" w:rsidP="00767474">
            <w:pPr>
              <w:rPr>
                <w:b/>
              </w:rPr>
            </w:pPr>
            <w:r w:rsidRPr="00C16B21">
              <w:rPr>
                <w:b/>
              </w:rPr>
              <w:t>5.2 Policies:</w:t>
            </w:r>
          </w:p>
          <w:p w:rsidR="008A6105" w:rsidRPr="00C16B21" w:rsidRDefault="008A6105" w:rsidP="00767474">
            <w:pPr>
              <w:rPr>
                <w:b/>
                <w:i/>
              </w:rPr>
            </w:pPr>
            <w:r w:rsidRPr="00C16B21">
              <w:rPr>
                <w:b/>
                <w:i/>
              </w:rPr>
              <w:t>What’s new:</w:t>
            </w:r>
          </w:p>
          <w:p w:rsidR="008A6105" w:rsidRDefault="00767474" w:rsidP="00767474">
            <w:r w:rsidRPr="00993673">
              <w:t>Requirement that ETBs publish their policies on their website</w:t>
            </w:r>
            <w:r w:rsidR="008A6105">
              <w:t xml:space="preserve">s </w:t>
            </w:r>
          </w:p>
          <w:p w:rsidR="008A6105" w:rsidRPr="00C16B21" w:rsidRDefault="00C50852" w:rsidP="00767474">
            <w:pPr>
              <w:rPr>
                <w:b/>
                <w:i/>
              </w:rPr>
            </w:pPr>
            <w:r>
              <w:rPr>
                <w:b/>
                <w:i/>
              </w:rPr>
              <w:t>Comment</w:t>
            </w:r>
            <w:r w:rsidR="008A6105" w:rsidRPr="00C16B21">
              <w:rPr>
                <w:b/>
                <w:i/>
              </w:rPr>
              <w:t>:</w:t>
            </w:r>
          </w:p>
          <w:p w:rsidR="00767474" w:rsidRDefault="008A6105" w:rsidP="00767474">
            <w:r>
              <w:t>S</w:t>
            </w:r>
            <w:r w:rsidR="00767474" w:rsidRPr="00993673">
              <w:t>hould the requirement be that they make the policies available publicly</w:t>
            </w:r>
            <w:r>
              <w:t xml:space="preserve"> and in suitable formats</w:t>
            </w:r>
            <w:r w:rsidR="00767474" w:rsidRPr="00993673">
              <w:t>?</w:t>
            </w:r>
          </w:p>
          <w:p w:rsidR="008A6105" w:rsidRDefault="008A6105" w:rsidP="00C50852">
            <w:r>
              <w:t>Should the re</w:t>
            </w:r>
            <w:r w:rsidR="00C50852">
              <w:t>quirement be to</w:t>
            </w:r>
            <w:r>
              <w:t xml:space="preserve"> also include procedures </w:t>
            </w:r>
            <w:r w:rsidR="00C50852">
              <w:t xml:space="preserve">(ref section 30 of the Act) </w:t>
            </w:r>
            <w:r>
              <w:t>as this is required in the act?</w:t>
            </w:r>
          </w:p>
        </w:tc>
      </w:tr>
      <w:tr w:rsidR="00767474" w:rsidRPr="00627CA9" w:rsidTr="00C50852">
        <w:trPr>
          <w:trHeight w:val="537"/>
        </w:trPr>
        <w:tc>
          <w:tcPr>
            <w:tcW w:w="1844" w:type="dxa"/>
            <w:vMerge/>
          </w:tcPr>
          <w:p w:rsidR="00767474" w:rsidRPr="00B55515" w:rsidRDefault="00767474" w:rsidP="00216A0A">
            <w:pPr>
              <w:rPr>
                <w:b/>
              </w:rPr>
            </w:pPr>
          </w:p>
        </w:tc>
        <w:tc>
          <w:tcPr>
            <w:tcW w:w="13182" w:type="dxa"/>
          </w:tcPr>
          <w:p w:rsidR="00767474" w:rsidRPr="00C16B21" w:rsidRDefault="00767474" w:rsidP="00216A0A">
            <w:pPr>
              <w:rPr>
                <w:b/>
              </w:rPr>
            </w:pPr>
            <w:r w:rsidRPr="00C16B21">
              <w:rPr>
                <w:b/>
              </w:rPr>
              <w:t xml:space="preserve">5.3 Procedures: </w:t>
            </w:r>
          </w:p>
          <w:p w:rsidR="008A6105" w:rsidRDefault="00767474" w:rsidP="008A6105">
            <w:r w:rsidRPr="00993673">
              <w:t>The five headings</w:t>
            </w:r>
            <w:r w:rsidR="008A6105">
              <w:t xml:space="preserve"> under which the</w:t>
            </w:r>
            <w:r w:rsidRPr="00993673">
              <w:t xml:space="preserve"> procedures will be documented </w:t>
            </w:r>
            <w:r w:rsidR="008A6105">
              <w:t xml:space="preserve">are </w:t>
            </w:r>
            <w:r w:rsidRPr="00993673">
              <w:t>more or less the same as before.</w:t>
            </w:r>
            <w:r w:rsidR="008A6105">
              <w:t xml:space="preserve"> </w:t>
            </w:r>
          </w:p>
          <w:p w:rsidR="008A6105" w:rsidRPr="00C16B21" w:rsidRDefault="008A6105" w:rsidP="008A6105">
            <w:pPr>
              <w:rPr>
                <w:b/>
              </w:rPr>
            </w:pPr>
            <w:r w:rsidRPr="00C16B21">
              <w:rPr>
                <w:b/>
              </w:rPr>
              <w:t>What’s new:</w:t>
            </w:r>
          </w:p>
          <w:p w:rsidR="00767474" w:rsidRDefault="00767474" w:rsidP="00767474">
            <w:r w:rsidRPr="00993673">
              <w:t>Guidelines on procedures are much less comprehensive than the previous guidelines on procedures</w:t>
            </w:r>
            <w:r w:rsidR="008A6105">
              <w:t>.</w:t>
            </w:r>
          </w:p>
        </w:tc>
      </w:tr>
      <w:tr w:rsidR="00767474" w:rsidRPr="00627CA9" w:rsidTr="00C50852">
        <w:trPr>
          <w:trHeight w:val="537"/>
        </w:trPr>
        <w:tc>
          <w:tcPr>
            <w:tcW w:w="1844" w:type="dxa"/>
            <w:vMerge/>
          </w:tcPr>
          <w:p w:rsidR="00767474" w:rsidRPr="00B55515" w:rsidRDefault="00767474" w:rsidP="00216A0A">
            <w:pPr>
              <w:rPr>
                <w:b/>
              </w:rPr>
            </w:pPr>
          </w:p>
        </w:tc>
        <w:tc>
          <w:tcPr>
            <w:tcW w:w="13182" w:type="dxa"/>
          </w:tcPr>
          <w:p w:rsidR="00767474" w:rsidRPr="007E14C4" w:rsidRDefault="00767474" w:rsidP="00216A0A">
            <w:pPr>
              <w:rPr>
                <w:b/>
              </w:rPr>
            </w:pPr>
            <w:r w:rsidRPr="007E14C4">
              <w:rPr>
                <w:b/>
              </w:rPr>
              <w:t>5.4 Information Management System:</w:t>
            </w:r>
          </w:p>
          <w:p w:rsidR="008A6105" w:rsidRPr="00C16B21" w:rsidRDefault="008A6105" w:rsidP="00767474">
            <w:pPr>
              <w:rPr>
                <w:b/>
                <w:i/>
              </w:rPr>
            </w:pPr>
            <w:r w:rsidRPr="00C16B21">
              <w:rPr>
                <w:b/>
                <w:i/>
              </w:rPr>
              <w:t>What’s new:</w:t>
            </w:r>
          </w:p>
          <w:p w:rsidR="008A6105" w:rsidRDefault="008A6105" w:rsidP="00767474">
            <w:r>
              <w:t>Requirement to have an Information Management System.</w:t>
            </w:r>
          </w:p>
          <w:p w:rsidR="00236C12" w:rsidRPr="00236C12" w:rsidRDefault="00236C12" w:rsidP="00767474">
            <w:pPr>
              <w:rPr>
                <w:b/>
                <w:i/>
              </w:rPr>
            </w:pPr>
            <w:r w:rsidRPr="00236C12">
              <w:rPr>
                <w:b/>
                <w:i/>
              </w:rPr>
              <w:t>Suggestion:</w:t>
            </w:r>
          </w:p>
          <w:p w:rsidR="00236C12" w:rsidRPr="00993673" w:rsidRDefault="00236C12" w:rsidP="00236C12">
            <w:r>
              <w:t>A single</w:t>
            </w:r>
            <w:r w:rsidRPr="00993673">
              <w:t xml:space="preserve"> Information Management System </w:t>
            </w:r>
            <w:r>
              <w:t>might</w:t>
            </w:r>
            <w:r w:rsidRPr="00993673">
              <w:t xml:space="preserve"> be appropriate</w:t>
            </w:r>
            <w:r>
              <w:t xml:space="preserve"> to</w:t>
            </w:r>
            <w:r w:rsidRPr="00993673">
              <w:t xml:space="preserve"> generate  information needed for all stakeholders (</w:t>
            </w:r>
            <w:r>
              <w:t xml:space="preserve">e.g. </w:t>
            </w:r>
            <w:r w:rsidRPr="00993673">
              <w:t>SOLAS, DSP, DES, Teaching Council, QQI, CAO)</w:t>
            </w:r>
          </w:p>
          <w:p w:rsidR="00767474" w:rsidRPr="00993673" w:rsidRDefault="008A6105" w:rsidP="00767474">
            <w:r>
              <w:t>E</w:t>
            </w:r>
            <w:r w:rsidR="00767474" w:rsidRPr="00993673">
              <w:t>stabli</w:t>
            </w:r>
            <w:r>
              <w:t xml:space="preserve">sh a task group to identify </w:t>
            </w:r>
            <w:r w:rsidR="00767474" w:rsidRPr="00993673">
              <w:t xml:space="preserve">the information needed by the stakeholders and produce a process map/flowchart </w:t>
            </w:r>
            <w:r>
              <w:t xml:space="preserve"> to outline:</w:t>
            </w:r>
            <w:r w:rsidR="00767474" w:rsidRPr="00993673">
              <w:t xml:space="preserve"> </w:t>
            </w:r>
          </w:p>
          <w:p w:rsidR="00767474" w:rsidRPr="00993673" w:rsidRDefault="00767474" w:rsidP="009046D9">
            <w:pPr>
              <w:pStyle w:val="ListParagraph"/>
              <w:numPr>
                <w:ilvl w:val="0"/>
                <w:numId w:val="2"/>
              </w:numPr>
              <w:rPr>
                <w:rFonts w:asciiTheme="minorHAnsi" w:hAnsiTheme="minorHAnsi"/>
                <w:szCs w:val="22"/>
              </w:rPr>
            </w:pPr>
            <w:r w:rsidRPr="00993673">
              <w:rPr>
                <w:rFonts w:asciiTheme="minorHAnsi" w:hAnsiTheme="minorHAnsi"/>
                <w:szCs w:val="22"/>
              </w:rPr>
              <w:t>information required per policy</w:t>
            </w:r>
            <w:r w:rsidR="007E14C4">
              <w:rPr>
                <w:rFonts w:asciiTheme="minorHAnsi" w:hAnsiTheme="minorHAnsi"/>
                <w:szCs w:val="22"/>
              </w:rPr>
              <w:t>/procedural</w:t>
            </w:r>
            <w:r w:rsidRPr="00993673">
              <w:rPr>
                <w:rFonts w:asciiTheme="minorHAnsi" w:hAnsiTheme="minorHAnsi"/>
                <w:szCs w:val="22"/>
              </w:rPr>
              <w:t xml:space="preserve"> areas </w:t>
            </w:r>
          </w:p>
          <w:p w:rsidR="00767474" w:rsidRPr="007E14C4" w:rsidRDefault="00767474" w:rsidP="009046D9">
            <w:pPr>
              <w:pStyle w:val="ListParagraph"/>
              <w:numPr>
                <w:ilvl w:val="0"/>
                <w:numId w:val="2"/>
              </w:numPr>
              <w:rPr>
                <w:rFonts w:asciiTheme="minorHAnsi" w:hAnsiTheme="minorHAnsi"/>
                <w:szCs w:val="22"/>
              </w:rPr>
            </w:pPr>
            <w:r w:rsidRPr="00993673">
              <w:rPr>
                <w:rFonts w:asciiTheme="minorHAnsi" w:hAnsiTheme="minorHAnsi"/>
                <w:szCs w:val="22"/>
              </w:rPr>
              <w:t>evidence to be generated</w:t>
            </w:r>
          </w:p>
        </w:tc>
      </w:tr>
      <w:tr w:rsidR="00767474" w:rsidRPr="00627CA9" w:rsidTr="00C50852">
        <w:trPr>
          <w:trHeight w:val="537"/>
        </w:trPr>
        <w:tc>
          <w:tcPr>
            <w:tcW w:w="1844" w:type="dxa"/>
            <w:vMerge/>
          </w:tcPr>
          <w:p w:rsidR="00767474" w:rsidRPr="00B55515" w:rsidRDefault="00767474" w:rsidP="00216A0A">
            <w:pPr>
              <w:rPr>
                <w:b/>
              </w:rPr>
            </w:pPr>
          </w:p>
        </w:tc>
        <w:tc>
          <w:tcPr>
            <w:tcW w:w="13182" w:type="dxa"/>
          </w:tcPr>
          <w:p w:rsidR="00767474" w:rsidRPr="007E14C4" w:rsidRDefault="00767474" w:rsidP="00216A0A">
            <w:pPr>
              <w:rPr>
                <w:b/>
              </w:rPr>
            </w:pPr>
            <w:r w:rsidRPr="007E14C4">
              <w:rPr>
                <w:b/>
              </w:rPr>
              <w:t>5.5 Internal Monitoring:</w:t>
            </w:r>
          </w:p>
          <w:p w:rsidR="007E14C4" w:rsidRPr="00C16B21" w:rsidRDefault="007E14C4" w:rsidP="00216A0A">
            <w:pPr>
              <w:rPr>
                <w:b/>
                <w:i/>
              </w:rPr>
            </w:pPr>
            <w:r w:rsidRPr="00C16B21">
              <w:rPr>
                <w:b/>
                <w:i/>
              </w:rPr>
              <w:t>What’s new:</w:t>
            </w:r>
          </w:p>
          <w:p w:rsidR="007E14C4" w:rsidRDefault="00767474" w:rsidP="00216A0A">
            <w:r w:rsidRPr="00993673">
              <w:t xml:space="preserve">Internal monitoring is at both corporate level and centre level. </w:t>
            </w:r>
          </w:p>
          <w:p w:rsidR="007E14C4" w:rsidRDefault="00767474" w:rsidP="007E14C4">
            <w:r w:rsidRPr="00993673">
              <w:t>The production of an Annual Quality Report</w:t>
            </w:r>
            <w:r w:rsidR="007E14C4">
              <w:t xml:space="preserve"> is now required.</w:t>
            </w:r>
            <w:r w:rsidRPr="00993673">
              <w:t xml:space="preserve"> </w:t>
            </w:r>
          </w:p>
          <w:p w:rsidR="007E14C4" w:rsidRPr="00C16B21" w:rsidRDefault="007E14C4" w:rsidP="007E14C4">
            <w:pPr>
              <w:rPr>
                <w:b/>
                <w:i/>
              </w:rPr>
            </w:pPr>
            <w:r w:rsidRPr="00C16B21">
              <w:rPr>
                <w:b/>
                <w:i/>
              </w:rPr>
              <w:t>Comment:</w:t>
            </w:r>
          </w:p>
          <w:p w:rsidR="00767474" w:rsidRDefault="00767474" w:rsidP="007E14C4">
            <w:r w:rsidRPr="00993673">
              <w:t xml:space="preserve">While there was </w:t>
            </w:r>
            <w:r w:rsidR="007E14C4">
              <w:t>previously</w:t>
            </w:r>
            <w:r w:rsidRPr="00993673">
              <w:t xml:space="preserve"> a requirement for internal</w:t>
            </w:r>
            <w:r w:rsidR="007E14C4">
              <w:t xml:space="preserve"> monitoring to be completed,</w:t>
            </w:r>
            <w:r w:rsidRPr="00993673">
              <w:t xml:space="preserve"> the reporting on this was not always a requirement</w:t>
            </w:r>
            <w:r w:rsidR="007E14C4">
              <w:t>.</w:t>
            </w:r>
          </w:p>
        </w:tc>
      </w:tr>
      <w:tr w:rsidR="00767474" w:rsidRPr="00627CA9" w:rsidTr="00C50852">
        <w:trPr>
          <w:trHeight w:val="537"/>
        </w:trPr>
        <w:tc>
          <w:tcPr>
            <w:tcW w:w="1844" w:type="dxa"/>
            <w:vMerge/>
          </w:tcPr>
          <w:p w:rsidR="00767474" w:rsidRPr="00B55515" w:rsidRDefault="00767474" w:rsidP="00216A0A">
            <w:pPr>
              <w:rPr>
                <w:b/>
              </w:rPr>
            </w:pPr>
          </w:p>
        </w:tc>
        <w:tc>
          <w:tcPr>
            <w:tcW w:w="13182" w:type="dxa"/>
          </w:tcPr>
          <w:p w:rsidR="00767474" w:rsidRPr="007E14C4" w:rsidRDefault="00767474" w:rsidP="00216A0A">
            <w:pPr>
              <w:rPr>
                <w:b/>
              </w:rPr>
            </w:pPr>
            <w:r w:rsidRPr="007E14C4">
              <w:rPr>
                <w:b/>
              </w:rPr>
              <w:t>5.6 Self-Evaluation and Improvement:</w:t>
            </w:r>
          </w:p>
          <w:p w:rsidR="007E14C4" w:rsidRPr="00C16B21" w:rsidRDefault="007E14C4" w:rsidP="00767474">
            <w:pPr>
              <w:rPr>
                <w:b/>
                <w:i/>
              </w:rPr>
            </w:pPr>
            <w:r w:rsidRPr="00C16B21">
              <w:rPr>
                <w:b/>
                <w:i/>
              </w:rPr>
              <w:t>What’s new</w:t>
            </w:r>
          </w:p>
          <w:p w:rsidR="007E14C4" w:rsidRPr="00055CE1" w:rsidRDefault="007E14C4" w:rsidP="00055CE1">
            <w:r w:rsidRPr="00993673">
              <w:lastRenderedPageBreak/>
              <w:t>Self- evaluation and improvement appears to be two pronged:</w:t>
            </w:r>
            <w:r w:rsidR="00055CE1">
              <w:t xml:space="preserve">  (1)</w:t>
            </w:r>
            <w:r w:rsidR="00055CE1" w:rsidRPr="00055CE1">
              <w:t xml:space="preserve"> The</w:t>
            </w:r>
            <w:r w:rsidRPr="00055CE1">
              <w:t xml:space="preserve"> quality of programmes</w:t>
            </w:r>
            <w:r w:rsidR="00055CE1">
              <w:t xml:space="preserve"> (2) </w:t>
            </w:r>
            <w:r w:rsidRPr="00055CE1">
              <w:t>Institutional QA - Does this replace the QA review cycle?</w:t>
            </w:r>
          </w:p>
          <w:p w:rsidR="007E14C4" w:rsidRPr="00993673" w:rsidRDefault="007E14C4" w:rsidP="007E14C4">
            <w:r w:rsidRPr="00993673">
              <w:t xml:space="preserve">Self-evaluation </w:t>
            </w:r>
            <w:r>
              <w:t>of quality assurance now constitutes part of statutory review.</w:t>
            </w:r>
          </w:p>
          <w:p w:rsidR="007E14C4" w:rsidRDefault="007E14C4" w:rsidP="00767474">
            <w:r>
              <w:t>The establishment of an External Panel for the purpose(s) of Self-Evaluation.</w:t>
            </w:r>
          </w:p>
          <w:p w:rsidR="007E14C4" w:rsidRPr="00C16B21" w:rsidRDefault="007E14C4" w:rsidP="00767474">
            <w:pPr>
              <w:rPr>
                <w:b/>
                <w:i/>
              </w:rPr>
            </w:pPr>
            <w:r w:rsidRPr="00C16B21">
              <w:rPr>
                <w:b/>
                <w:i/>
              </w:rPr>
              <w:t>Comments:</w:t>
            </w:r>
          </w:p>
          <w:p w:rsidR="00767474" w:rsidRPr="00993673" w:rsidRDefault="00236C12" w:rsidP="00767474">
            <w:r>
              <w:t>Self-</w:t>
            </w:r>
            <w:r w:rsidR="00767474" w:rsidRPr="00993673">
              <w:t>evaluation of program</w:t>
            </w:r>
            <w:r w:rsidR="007E14C4">
              <w:t>mes appears to be linked to re-validation.</w:t>
            </w:r>
          </w:p>
          <w:p w:rsidR="007E14C4" w:rsidRPr="00C16B21" w:rsidRDefault="007E14C4" w:rsidP="00767474">
            <w:pPr>
              <w:rPr>
                <w:b/>
                <w:i/>
              </w:rPr>
            </w:pPr>
            <w:r w:rsidRPr="00C16B21">
              <w:rPr>
                <w:b/>
                <w:i/>
              </w:rPr>
              <w:t>Clarification needed:</w:t>
            </w:r>
          </w:p>
          <w:p w:rsidR="00767474" w:rsidRDefault="00767474" w:rsidP="00767474">
            <w:r w:rsidRPr="00993673">
              <w:t>External Panel – is this in addition to or instead of the external evaluator currently appointed by the provider? Who appoints the external panel? Who pays?</w:t>
            </w:r>
          </w:p>
        </w:tc>
      </w:tr>
      <w:tr w:rsidR="007C44C1" w:rsidRPr="00627CA9" w:rsidTr="00C50852">
        <w:tc>
          <w:tcPr>
            <w:tcW w:w="1844" w:type="dxa"/>
          </w:tcPr>
          <w:p w:rsidR="007C44C1" w:rsidRPr="00B55515" w:rsidRDefault="000E7F84" w:rsidP="00216A0A">
            <w:pPr>
              <w:rPr>
                <w:b/>
              </w:rPr>
            </w:pPr>
            <w:r w:rsidRPr="00B55515">
              <w:rPr>
                <w:b/>
              </w:rPr>
              <w:lastRenderedPageBreak/>
              <w:t>6.</w:t>
            </w:r>
            <w:r w:rsidR="007C44C1" w:rsidRPr="00B55515">
              <w:rPr>
                <w:b/>
              </w:rPr>
              <w:t>EQAVET – European Context</w:t>
            </w:r>
          </w:p>
        </w:tc>
        <w:tc>
          <w:tcPr>
            <w:tcW w:w="13182" w:type="dxa"/>
          </w:tcPr>
          <w:p w:rsidR="000E7F84" w:rsidRPr="00C16B21" w:rsidRDefault="000E7F84" w:rsidP="00216A0A">
            <w:pPr>
              <w:rPr>
                <w:b/>
                <w:i/>
              </w:rPr>
            </w:pPr>
            <w:r w:rsidRPr="00C16B21">
              <w:rPr>
                <w:b/>
                <w:i/>
              </w:rPr>
              <w:t>What’s new:</w:t>
            </w:r>
          </w:p>
          <w:p w:rsidR="007C44C1" w:rsidRPr="00993673" w:rsidRDefault="007C44C1" w:rsidP="00216A0A">
            <w:r w:rsidRPr="00993673">
              <w:t>There is an expectation that QA will reflect the EQAVET framework.</w:t>
            </w:r>
          </w:p>
          <w:p w:rsidR="000E7F84" w:rsidRPr="00C16B21" w:rsidRDefault="000E7F84" w:rsidP="00216A0A">
            <w:pPr>
              <w:rPr>
                <w:b/>
                <w:i/>
              </w:rPr>
            </w:pPr>
            <w:r w:rsidRPr="00C16B21">
              <w:rPr>
                <w:b/>
                <w:i/>
              </w:rPr>
              <w:t>Clarification needed:</w:t>
            </w:r>
          </w:p>
          <w:p w:rsidR="007C44C1" w:rsidRPr="00993673" w:rsidRDefault="000E7F84" w:rsidP="000E7F84">
            <w:r>
              <w:t>Will</w:t>
            </w:r>
            <w:r w:rsidR="007C44C1" w:rsidRPr="00993673">
              <w:t xml:space="preserve"> this be at QQI guidelines level as well as at provider level</w:t>
            </w:r>
            <w:r>
              <w:t>?</w:t>
            </w:r>
          </w:p>
        </w:tc>
      </w:tr>
      <w:tr w:rsidR="007C44C1" w:rsidRPr="00627CA9" w:rsidTr="00C50852">
        <w:tc>
          <w:tcPr>
            <w:tcW w:w="1844" w:type="dxa"/>
          </w:tcPr>
          <w:p w:rsidR="007C44C1" w:rsidRPr="00B55515" w:rsidRDefault="000E7F84" w:rsidP="00216A0A">
            <w:pPr>
              <w:rPr>
                <w:b/>
              </w:rPr>
            </w:pPr>
            <w:r w:rsidRPr="00B55515">
              <w:rPr>
                <w:b/>
              </w:rPr>
              <w:t>7.</w:t>
            </w:r>
            <w:r w:rsidR="007C44C1" w:rsidRPr="00B55515">
              <w:rPr>
                <w:b/>
              </w:rPr>
              <w:t>Areas to be Quality Assured</w:t>
            </w:r>
          </w:p>
        </w:tc>
        <w:tc>
          <w:tcPr>
            <w:tcW w:w="13182" w:type="dxa"/>
          </w:tcPr>
          <w:p w:rsidR="000E7F84" w:rsidRPr="00C16B21" w:rsidRDefault="000E7F84" w:rsidP="00216A0A">
            <w:pPr>
              <w:rPr>
                <w:b/>
                <w:i/>
              </w:rPr>
            </w:pPr>
            <w:r w:rsidRPr="00C16B21">
              <w:rPr>
                <w:b/>
                <w:i/>
              </w:rPr>
              <w:t>What’s new:</w:t>
            </w:r>
          </w:p>
          <w:p w:rsidR="007C44C1" w:rsidRPr="00993673" w:rsidRDefault="007C44C1" w:rsidP="009046D9">
            <w:pPr>
              <w:pStyle w:val="ListParagraph"/>
              <w:numPr>
                <w:ilvl w:val="0"/>
                <w:numId w:val="3"/>
              </w:numPr>
              <w:rPr>
                <w:rFonts w:asciiTheme="minorHAnsi" w:hAnsiTheme="minorHAnsi"/>
                <w:szCs w:val="22"/>
              </w:rPr>
            </w:pPr>
            <w:r w:rsidRPr="00993673">
              <w:rPr>
                <w:rFonts w:asciiTheme="minorHAnsi" w:hAnsiTheme="minorHAnsi"/>
                <w:szCs w:val="22"/>
              </w:rPr>
              <w:t xml:space="preserve">Governance including documenting governance structures </w:t>
            </w:r>
          </w:p>
          <w:p w:rsidR="007C44C1" w:rsidRPr="00993673" w:rsidRDefault="007C44C1" w:rsidP="009046D9">
            <w:pPr>
              <w:pStyle w:val="ListParagraph"/>
              <w:numPr>
                <w:ilvl w:val="0"/>
                <w:numId w:val="3"/>
              </w:numPr>
              <w:rPr>
                <w:rFonts w:asciiTheme="minorHAnsi" w:hAnsiTheme="minorHAnsi"/>
                <w:szCs w:val="22"/>
              </w:rPr>
            </w:pPr>
            <w:r w:rsidRPr="00993673">
              <w:rPr>
                <w:rFonts w:asciiTheme="minorHAnsi" w:hAnsiTheme="minorHAnsi"/>
                <w:szCs w:val="22"/>
              </w:rPr>
              <w:t>Quality Management – some elements of this existed in the initial QA agreement in provider context information Part A</w:t>
            </w:r>
          </w:p>
          <w:p w:rsidR="00FA69B6" w:rsidRDefault="000E7F84" w:rsidP="009046D9">
            <w:pPr>
              <w:pStyle w:val="ListParagraph"/>
              <w:numPr>
                <w:ilvl w:val="0"/>
                <w:numId w:val="3"/>
              </w:numPr>
              <w:rPr>
                <w:rFonts w:asciiTheme="minorHAnsi" w:hAnsiTheme="minorHAnsi"/>
                <w:szCs w:val="22"/>
              </w:rPr>
            </w:pPr>
            <w:r w:rsidRPr="00993673">
              <w:rPr>
                <w:rFonts w:asciiTheme="minorHAnsi" w:hAnsiTheme="minorHAnsi"/>
                <w:szCs w:val="22"/>
              </w:rPr>
              <w:t>Teaching and Learning is a new area. This area needs to be teased out further to explore what exactly is required. Should CPD be included</w:t>
            </w:r>
            <w:r w:rsidR="00236C12">
              <w:rPr>
                <w:rFonts w:asciiTheme="minorHAnsi" w:hAnsiTheme="minorHAnsi"/>
                <w:szCs w:val="22"/>
              </w:rPr>
              <w:t>?</w:t>
            </w:r>
          </w:p>
          <w:p w:rsidR="00FA69B6" w:rsidRPr="00FA69B6" w:rsidRDefault="00FA69B6" w:rsidP="009046D9">
            <w:pPr>
              <w:pStyle w:val="ListParagraph"/>
              <w:numPr>
                <w:ilvl w:val="0"/>
                <w:numId w:val="3"/>
              </w:numPr>
              <w:rPr>
                <w:rFonts w:asciiTheme="minorHAnsi" w:hAnsiTheme="minorHAnsi"/>
                <w:szCs w:val="22"/>
              </w:rPr>
            </w:pPr>
            <w:r w:rsidRPr="00FA69B6">
              <w:rPr>
                <w:rFonts w:asciiTheme="minorHAnsi" w:hAnsiTheme="minorHAnsi"/>
                <w:szCs w:val="22"/>
              </w:rPr>
              <w:t>PEFL – this time, this will apply to our sector</w:t>
            </w:r>
          </w:p>
          <w:p w:rsidR="000E7F84" w:rsidRPr="000E7F84" w:rsidRDefault="000E7F84" w:rsidP="009046D9">
            <w:pPr>
              <w:pStyle w:val="ListParagraph"/>
              <w:numPr>
                <w:ilvl w:val="0"/>
                <w:numId w:val="3"/>
              </w:numPr>
              <w:rPr>
                <w:rFonts w:asciiTheme="minorHAnsi" w:hAnsiTheme="minorHAnsi"/>
                <w:szCs w:val="22"/>
              </w:rPr>
            </w:pPr>
            <w:r w:rsidRPr="000E7F84">
              <w:rPr>
                <w:rFonts w:asciiTheme="minorHAnsi" w:hAnsiTheme="minorHAnsi"/>
                <w:szCs w:val="22"/>
              </w:rPr>
              <w:t>Collaborative provision is new….is this replacing subcontracting/procuring programme delivery?</w:t>
            </w:r>
          </w:p>
          <w:p w:rsidR="007C44C1" w:rsidRPr="00993673" w:rsidRDefault="000E7F84" w:rsidP="009046D9">
            <w:pPr>
              <w:pStyle w:val="ListParagraph"/>
              <w:numPr>
                <w:ilvl w:val="0"/>
                <w:numId w:val="3"/>
              </w:numPr>
              <w:rPr>
                <w:rFonts w:asciiTheme="minorHAnsi" w:hAnsiTheme="minorHAnsi"/>
                <w:szCs w:val="22"/>
              </w:rPr>
            </w:pPr>
            <w:r>
              <w:rPr>
                <w:rFonts w:asciiTheme="minorHAnsi" w:hAnsiTheme="minorHAnsi"/>
                <w:szCs w:val="22"/>
              </w:rPr>
              <w:t>R</w:t>
            </w:r>
            <w:r w:rsidR="007C44C1" w:rsidRPr="00993673">
              <w:rPr>
                <w:rFonts w:asciiTheme="minorHAnsi" w:hAnsiTheme="minorHAnsi"/>
                <w:szCs w:val="22"/>
              </w:rPr>
              <w:t>eference to staff induction no longer  in place, otherwise it is similar to B3</w:t>
            </w:r>
          </w:p>
          <w:p w:rsidR="007C44C1" w:rsidRPr="00993673" w:rsidRDefault="007C44C1" w:rsidP="009046D9">
            <w:pPr>
              <w:pStyle w:val="ListParagraph"/>
              <w:numPr>
                <w:ilvl w:val="0"/>
                <w:numId w:val="3"/>
              </w:numPr>
              <w:rPr>
                <w:rFonts w:asciiTheme="minorHAnsi" w:hAnsiTheme="minorHAnsi"/>
                <w:szCs w:val="22"/>
              </w:rPr>
            </w:pPr>
            <w:r w:rsidRPr="00993673">
              <w:rPr>
                <w:rFonts w:asciiTheme="minorHAnsi" w:hAnsiTheme="minorHAnsi"/>
                <w:szCs w:val="22"/>
              </w:rPr>
              <w:t>Communication is now integrated rather than a separate policy area</w:t>
            </w:r>
          </w:p>
          <w:p w:rsidR="007C44C1" w:rsidRPr="00993673" w:rsidRDefault="007C44C1" w:rsidP="009046D9">
            <w:pPr>
              <w:pStyle w:val="ListParagraph"/>
              <w:numPr>
                <w:ilvl w:val="0"/>
                <w:numId w:val="3"/>
              </w:numPr>
              <w:rPr>
                <w:rFonts w:asciiTheme="minorHAnsi" w:hAnsiTheme="minorHAnsi"/>
                <w:szCs w:val="22"/>
              </w:rPr>
            </w:pPr>
            <w:r w:rsidRPr="00993673">
              <w:rPr>
                <w:rFonts w:asciiTheme="minorHAnsi" w:hAnsiTheme="minorHAnsi"/>
                <w:szCs w:val="22"/>
              </w:rPr>
              <w:t xml:space="preserve">Communications with stakeholders is not explicitly mentioned, providers should be advised to be mindful of this </w:t>
            </w:r>
          </w:p>
          <w:p w:rsidR="007C44C1" w:rsidRDefault="007C44C1" w:rsidP="009046D9">
            <w:pPr>
              <w:pStyle w:val="ListParagraph"/>
              <w:numPr>
                <w:ilvl w:val="0"/>
                <w:numId w:val="3"/>
              </w:numPr>
              <w:rPr>
                <w:rFonts w:asciiTheme="minorHAnsi" w:hAnsiTheme="minorHAnsi"/>
                <w:szCs w:val="22"/>
              </w:rPr>
            </w:pPr>
            <w:r w:rsidRPr="00993673">
              <w:rPr>
                <w:rFonts w:asciiTheme="minorHAnsi" w:hAnsiTheme="minorHAnsi"/>
                <w:szCs w:val="22"/>
              </w:rPr>
              <w:t>Equality is not explicitly named as an area</w:t>
            </w:r>
          </w:p>
          <w:p w:rsidR="00FA69B6" w:rsidRDefault="00FA69B6" w:rsidP="009046D9">
            <w:pPr>
              <w:pStyle w:val="ListParagraph"/>
              <w:numPr>
                <w:ilvl w:val="0"/>
                <w:numId w:val="3"/>
              </w:numPr>
              <w:rPr>
                <w:rFonts w:asciiTheme="minorHAnsi" w:hAnsiTheme="minorHAnsi"/>
                <w:szCs w:val="22"/>
              </w:rPr>
            </w:pPr>
            <w:r>
              <w:rPr>
                <w:rFonts w:asciiTheme="minorHAnsi" w:hAnsiTheme="minorHAnsi"/>
                <w:szCs w:val="22"/>
              </w:rPr>
              <w:t xml:space="preserve">Computer </w:t>
            </w:r>
            <w:r w:rsidR="00D03DE6">
              <w:rPr>
                <w:rFonts w:asciiTheme="minorHAnsi" w:hAnsiTheme="minorHAnsi"/>
                <w:szCs w:val="22"/>
              </w:rPr>
              <w:t>based/e-assessment from the QAA guidelines appears to have been replaced by distance/e-learning assessment</w:t>
            </w:r>
          </w:p>
          <w:p w:rsidR="007C44C1" w:rsidRPr="00C16B21" w:rsidRDefault="00FA69B6" w:rsidP="00216A0A">
            <w:pPr>
              <w:rPr>
                <w:b/>
                <w:i/>
              </w:rPr>
            </w:pPr>
            <w:r w:rsidRPr="00C16B21">
              <w:rPr>
                <w:b/>
                <w:i/>
              </w:rPr>
              <w:t>Clarification needed:</w:t>
            </w:r>
          </w:p>
          <w:p w:rsidR="007C44C1" w:rsidRPr="00993673" w:rsidRDefault="007C44C1" w:rsidP="00216A0A">
            <w:r w:rsidRPr="00993673">
              <w:t>RPL – is that B10 plus the RPL in B4.3?</w:t>
            </w:r>
          </w:p>
          <w:p w:rsidR="007C44C1" w:rsidRPr="00993673" w:rsidRDefault="007C44C1" w:rsidP="00216A0A">
            <w:r w:rsidRPr="00993673">
              <w:t>Should RPL also be included in Fair and consistent assessment of learners?</w:t>
            </w:r>
          </w:p>
          <w:p w:rsidR="007C44C1" w:rsidRDefault="00FA69B6" w:rsidP="00216A0A">
            <w:r w:rsidRPr="00993673">
              <w:t>Learner records links to information management system</w:t>
            </w:r>
            <w:r>
              <w:t>?</w:t>
            </w:r>
          </w:p>
          <w:p w:rsidR="007C44C1" w:rsidRPr="00C16B21" w:rsidRDefault="00FA69B6" w:rsidP="00216A0A">
            <w:pPr>
              <w:rPr>
                <w:b/>
                <w:i/>
              </w:rPr>
            </w:pPr>
            <w:r w:rsidRPr="00C16B21">
              <w:rPr>
                <w:b/>
                <w:i/>
              </w:rPr>
              <w:t>Suggestion:</w:t>
            </w:r>
          </w:p>
          <w:p w:rsidR="00FA69B6" w:rsidRPr="00993673" w:rsidRDefault="00236C12" w:rsidP="00FA69B6">
            <w:r>
              <w:t xml:space="preserve">Add </w:t>
            </w:r>
            <w:r w:rsidR="00FA69B6" w:rsidRPr="00993673">
              <w:t>assessment by RPL here in addition to e-learning/distance</w:t>
            </w:r>
            <w:r w:rsidR="00FA69B6">
              <w:t xml:space="preserve"> in the section on fair and consistent assessment of learners</w:t>
            </w:r>
          </w:p>
          <w:p w:rsidR="00FA69B6" w:rsidRPr="00C16B21" w:rsidRDefault="000E7F84" w:rsidP="00FA69B6">
            <w:pPr>
              <w:rPr>
                <w:b/>
                <w:i/>
              </w:rPr>
            </w:pPr>
            <w:r w:rsidRPr="00C16B21">
              <w:rPr>
                <w:b/>
                <w:i/>
              </w:rPr>
              <w:t>Comment:</w:t>
            </w:r>
            <w:r w:rsidR="00FA69B6" w:rsidRPr="00C16B21">
              <w:rPr>
                <w:b/>
                <w:i/>
              </w:rPr>
              <w:t xml:space="preserve"> </w:t>
            </w:r>
          </w:p>
          <w:p w:rsidR="007C44C1" w:rsidRPr="00993673" w:rsidRDefault="000E7F84" w:rsidP="00055CE1">
            <w:r>
              <w:t>Table headings and sub-headings not consistent with the rest of the document</w:t>
            </w:r>
            <w:r w:rsidR="00FA69B6">
              <w:t xml:space="preserve"> </w:t>
            </w:r>
          </w:p>
        </w:tc>
      </w:tr>
      <w:tr w:rsidR="00A70A45" w:rsidRPr="00627CA9" w:rsidTr="00C50852">
        <w:trPr>
          <w:trHeight w:val="429"/>
        </w:trPr>
        <w:tc>
          <w:tcPr>
            <w:tcW w:w="1844" w:type="dxa"/>
            <w:vMerge w:val="restart"/>
          </w:tcPr>
          <w:p w:rsidR="00A70A45" w:rsidRPr="00B55515" w:rsidRDefault="00A70A45" w:rsidP="00D03DE6">
            <w:pPr>
              <w:rPr>
                <w:b/>
              </w:rPr>
            </w:pPr>
            <w:r w:rsidRPr="00B55515">
              <w:rPr>
                <w:b/>
              </w:rPr>
              <w:t>8.Guidelines</w:t>
            </w:r>
          </w:p>
          <w:p w:rsidR="00A70A45" w:rsidRPr="00B55515" w:rsidRDefault="00A70A45" w:rsidP="00BF49CD">
            <w:pPr>
              <w:rPr>
                <w:b/>
              </w:rPr>
            </w:pPr>
          </w:p>
          <w:p w:rsidR="00A70A45" w:rsidRPr="00B55515" w:rsidRDefault="00A70A45" w:rsidP="00BF49CD">
            <w:pPr>
              <w:rPr>
                <w:b/>
              </w:rPr>
            </w:pPr>
          </w:p>
        </w:tc>
        <w:tc>
          <w:tcPr>
            <w:tcW w:w="13182" w:type="dxa"/>
          </w:tcPr>
          <w:p w:rsidR="00A70A45" w:rsidRPr="00726025" w:rsidRDefault="00A70A45" w:rsidP="00216A0A">
            <w:pPr>
              <w:rPr>
                <w:b/>
              </w:rPr>
            </w:pPr>
            <w:r w:rsidRPr="00726025">
              <w:rPr>
                <w:b/>
              </w:rPr>
              <w:lastRenderedPageBreak/>
              <w:t>8.1</w:t>
            </w:r>
            <w:r>
              <w:rPr>
                <w:b/>
              </w:rPr>
              <w:t xml:space="preserve"> </w:t>
            </w:r>
            <w:r w:rsidRPr="00726025">
              <w:rPr>
                <w:b/>
              </w:rPr>
              <w:t>Governance</w:t>
            </w:r>
          </w:p>
          <w:p w:rsidR="00A70A45" w:rsidRPr="00C16B21" w:rsidRDefault="00A70A45" w:rsidP="00216A0A">
            <w:pPr>
              <w:rPr>
                <w:b/>
                <w:i/>
              </w:rPr>
            </w:pPr>
            <w:r w:rsidRPr="00C16B21">
              <w:rPr>
                <w:b/>
                <w:i/>
              </w:rPr>
              <w:t>What’s new:</w:t>
            </w:r>
          </w:p>
          <w:p w:rsidR="00A70A45" w:rsidRDefault="00236C12" w:rsidP="00726025">
            <w:r>
              <w:lastRenderedPageBreak/>
              <w:t xml:space="preserve">Governance requirements stated </w:t>
            </w:r>
            <w:r w:rsidR="00A70A45">
              <w:t xml:space="preserve"> </w:t>
            </w:r>
          </w:p>
          <w:p w:rsidR="00A70A45" w:rsidRPr="00C16B21" w:rsidRDefault="00A70A45" w:rsidP="00726025">
            <w:pPr>
              <w:rPr>
                <w:b/>
                <w:i/>
              </w:rPr>
            </w:pPr>
            <w:r w:rsidRPr="00C16B21">
              <w:rPr>
                <w:b/>
                <w:i/>
              </w:rPr>
              <w:t xml:space="preserve">Clarification needed: </w:t>
            </w:r>
          </w:p>
          <w:p w:rsidR="00A70A45" w:rsidRPr="00993673" w:rsidRDefault="00A70A45" w:rsidP="00726025">
            <w:r>
              <w:t>Will ETBs have to examine/revise their g</w:t>
            </w:r>
            <w:r w:rsidRPr="00993673">
              <w:t xml:space="preserve">overnance </w:t>
            </w:r>
            <w:r>
              <w:t xml:space="preserve">structures </w:t>
            </w:r>
            <w:r w:rsidRPr="00993673">
              <w:t>to ensure complian</w:t>
            </w:r>
            <w:r>
              <w:t>ce with this requirement by QQI?</w:t>
            </w:r>
          </w:p>
          <w:p w:rsidR="00A70A45" w:rsidRPr="00993673" w:rsidRDefault="00A70A45" w:rsidP="00216A0A">
            <w:r>
              <w:t xml:space="preserve">Is this an extension of the </w:t>
            </w:r>
            <w:r w:rsidRPr="00993673">
              <w:t xml:space="preserve">PAA </w:t>
            </w:r>
            <w:r>
              <w:t>processes?</w:t>
            </w:r>
          </w:p>
          <w:p w:rsidR="00A70A45" w:rsidRPr="00993673" w:rsidRDefault="00A70A45" w:rsidP="00216A0A">
            <w:r>
              <w:t>Is there an o</w:t>
            </w:r>
            <w:r w:rsidRPr="00993673">
              <w:t>verlap with general gov</w:t>
            </w:r>
            <w:r>
              <w:t>ernance structures within ETBs?</w:t>
            </w:r>
          </w:p>
        </w:tc>
      </w:tr>
      <w:tr w:rsidR="00A70A45" w:rsidRPr="00627CA9" w:rsidTr="00C50852">
        <w:trPr>
          <w:trHeight w:val="429"/>
        </w:trPr>
        <w:tc>
          <w:tcPr>
            <w:tcW w:w="1844" w:type="dxa"/>
            <w:vMerge/>
          </w:tcPr>
          <w:p w:rsidR="00A70A45" w:rsidRPr="00B55515" w:rsidRDefault="00A70A45" w:rsidP="00BF49CD">
            <w:pPr>
              <w:rPr>
                <w:b/>
              </w:rPr>
            </w:pPr>
          </w:p>
        </w:tc>
        <w:tc>
          <w:tcPr>
            <w:tcW w:w="13182" w:type="dxa"/>
          </w:tcPr>
          <w:p w:rsidR="00A70A45" w:rsidRPr="00726025" w:rsidRDefault="00A70A45" w:rsidP="00216A0A">
            <w:pPr>
              <w:rPr>
                <w:b/>
              </w:rPr>
            </w:pPr>
            <w:r w:rsidRPr="00726025">
              <w:rPr>
                <w:b/>
              </w:rPr>
              <w:t>8.2 Quality Management:</w:t>
            </w:r>
          </w:p>
          <w:p w:rsidR="00A70A45" w:rsidRPr="00C16B21" w:rsidRDefault="00A70A45" w:rsidP="00D03DE6">
            <w:pPr>
              <w:rPr>
                <w:b/>
                <w:i/>
              </w:rPr>
            </w:pPr>
            <w:r w:rsidRPr="00C16B21">
              <w:rPr>
                <w:b/>
                <w:i/>
              </w:rPr>
              <w:t>What’s new:</w:t>
            </w:r>
          </w:p>
          <w:p w:rsidR="00A70A45" w:rsidRDefault="00A70A45" w:rsidP="00D03DE6">
            <w:r w:rsidRPr="00993673">
              <w:t xml:space="preserve">ETB to develop a </w:t>
            </w:r>
            <w:r>
              <w:t>“</w:t>
            </w:r>
            <w:r w:rsidRPr="00993673">
              <w:t>Quality Policy</w:t>
            </w:r>
            <w:r>
              <w:t>”</w:t>
            </w:r>
            <w:r w:rsidRPr="00993673">
              <w:t xml:space="preserve"> in hard/soft copy</w:t>
            </w:r>
            <w:r>
              <w:t xml:space="preserve"> clarifying the following areas:</w:t>
            </w:r>
          </w:p>
          <w:p w:rsidR="00A70A45" w:rsidRPr="00F02717" w:rsidRDefault="00A70A45" w:rsidP="009046D9">
            <w:pPr>
              <w:pStyle w:val="ListParagraph"/>
              <w:numPr>
                <w:ilvl w:val="0"/>
                <w:numId w:val="10"/>
              </w:numPr>
              <w:rPr>
                <w:rFonts w:asciiTheme="minorHAnsi" w:eastAsiaTheme="minorHAnsi" w:hAnsiTheme="minorHAnsi" w:cstheme="minorBidi"/>
                <w:szCs w:val="22"/>
                <w:lang w:val="en-GB"/>
              </w:rPr>
            </w:pPr>
            <w:r w:rsidRPr="00F02717">
              <w:rPr>
                <w:rFonts w:asciiTheme="minorHAnsi" w:eastAsiaTheme="minorHAnsi" w:hAnsiTheme="minorHAnsi" w:cstheme="minorBidi"/>
                <w:szCs w:val="22"/>
                <w:lang w:val="en-GB"/>
              </w:rPr>
              <w:t>Organisational Structure:</w:t>
            </w:r>
          </w:p>
          <w:p w:rsidR="00A70A45" w:rsidRPr="00F02717" w:rsidRDefault="00A70A45" w:rsidP="009046D9">
            <w:pPr>
              <w:pStyle w:val="ListParagraph"/>
              <w:numPr>
                <w:ilvl w:val="0"/>
                <w:numId w:val="10"/>
              </w:numPr>
              <w:rPr>
                <w:rFonts w:asciiTheme="minorHAnsi" w:eastAsiaTheme="minorHAnsi" w:hAnsiTheme="minorHAnsi" w:cstheme="minorBidi"/>
                <w:szCs w:val="22"/>
                <w:lang w:val="en-GB"/>
              </w:rPr>
            </w:pPr>
            <w:r w:rsidRPr="00F02717">
              <w:rPr>
                <w:rFonts w:asciiTheme="minorHAnsi" w:eastAsiaTheme="minorHAnsi" w:hAnsiTheme="minorHAnsi" w:cstheme="minorBidi"/>
                <w:szCs w:val="22"/>
                <w:lang w:val="en-GB"/>
              </w:rPr>
              <w:t xml:space="preserve">Management </w:t>
            </w:r>
            <w:r w:rsidR="00236C12">
              <w:rPr>
                <w:rFonts w:asciiTheme="minorHAnsi" w:eastAsiaTheme="minorHAnsi" w:hAnsiTheme="minorHAnsi" w:cstheme="minorBidi"/>
                <w:szCs w:val="22"/>
                <w:lang w:val="en-GB"/>
              </w:rPr>
              <w:t>Responsibility</w:t>
            </w:r>
          </w:p>
          <w:p w:rsidR="00A70A45" w:rsidRPr="00F02717" w:rsidRDefault="00A70A45" w:rsidP="009046D9">
            <w:pPr>
              <w:pStyle w:val="ListParagraph"/>
              <w:numPr>
                <w:ilvl w:val="0"/>
                <w:numId w:val="10"/>
              </w:numPr>
              <w:rPr>
                <w:rFonts w:asciiTheme="minorHAnsi" w:eastAsiaTheme="minorHAnsi" w:hAnsiTheme="minorHAnsi" w:cstheme="minorBidi"/>
                <w:szCs w:val="22"/>
                <w:lang w:val="en-GB"/>
              </w:rPr>
            </w:pPr>
            <w:r w:rsidRPr="00F02717">
              <w:rPr>
                <w:rFonts w:asciiTheme="minorHAnsi" w:eastAsiaTheme="minorHAnsi" w:hAnsiTheme="minorHAnsi" w:cstheme="minorBidi"/>
                <w:szCs w:val="22"/>
                <w:lang w:val="en-GB"/>
              </w:rPr>
              <w:t xml:space="preserve">Designated Responsibility </w:t>
            </w:r>
          </w:p>
          <w:p w:rsidR="00A70A45" w:rsidRPr="00F02717" w:rsidRDefault="00A70A45" w:rsidP="009046D9">
            <w:pPr>
              <w:pStyle w:val="ListParagraph"/>
              <w:numPr>
                <w:ilvl w:val="0"/>
                <w:numId w:val="10"/>
              </w:numPr>
              <w:rPr>
                <w:rFonts w:asciiTheme="minorHAnsi" w:eastAsiaTheme="minorHAnsi" w:hAnsiTheme="minorHAnsi" w:cstheme="minorBidi"/>
                <w:szCs w:val="22"/>
                <w:lang w:val="en-GB"/>
              </w:rPr>
            </w:pPr>
            <w:r>
              <w:rPr>
                <w:rFonts w:asciiTheme="minorHAnsi" w:eastAsiaTheme="minorHAnsi" w:hAnsiTheme="minorHAnsi" w:cstheme="minorBidi"/>
                <w:szCs w:val="22"/>
                <w:lang w:val="en-GB"/>
              </w:rPr>
              <w:t xml:space="preserve">Governance Structures </w:t>
            </w:r>
          </w:p>
          <w:p w:rsidR="00A70A45" w:rsidRPr="00F02717" w:rsidRDefault="00A70A45" w:rsidP="009046D9">
            <w:pPr>
              <w:pStyle w:val="ListParagraph"/>
              <w:numPr>
                <w:ilvl w:val="0"/>
                <w:numId w:val="10"/>
              </w:numPr>
              <w:rPr>
                <w:rFonts w:asciiTheme="minorHAnsi" w:eastAsiaTheme="minorHAnsi" w:hAnsiTheme="minorHAnsi" w:cstheme="minorBidi"/>
                <w:szCs w:val="22"/>
                <w:lang w:val="en-GB"/>
              </w:rPr>
            </w:pPr>
            <w:r w:rsidRPr="00F02717">
              <w:rPr>
                <w:rFonts w:asciiTheme="minorHAnsi" w:eastAsiaTheme="minorHAnsi" w:hAnsiTheme="minorHAnsi" w:cstheme="minorBidi"/>
                <w:szCs w:val="22"/>
                <w:lang w:val="en-GB"/>
              </w:rPr>
              <w:t>Information Systems – referred to in page 10 as Information Management</w:t>
            </w:r>
          </w:p>
          <w:p w:rsidR="00A70A45" w:rsidRPr="00993673" w:rsidRDefault="00A70A45" w:rsidP="00D03DE6">
            <w:r w:rsidRPr="00993673">
              <w:t>Linked to monitoring, ETBs to develop success indicators, possibly modelled on the EQAVE</w:t>
            </w:r>
            <w:r>
              <w:t xml:space="preserve">T indicators </w:t>
            </w:r>
          </w:p>
          <w:p w:rsidR="00A70A45" w:rsidRPr="00C16B21" w:rsidRDefault="00A70A45" w:rsidP="00D03DE6">
            <w:pPr>
              <w:rPr>
                <w:b/>
                <w:i/>
              </w:rPr>
            </w:pPr>
            <w:r w:rsidRPr="00C16B21">
              <w:rPr>
                <w:b/>
                <w:i/>
              </w:rPr>
              <w:t>Clarification needed:</w:t>
            </w:r>
          </w:p>
          <w:p w:rsidR="00A70A45" w:rsidRDefault="00A70A45" w:rsidP="00216A0A">
            <w:r w:rsidRPr="00993673">
              <w:t>Is this an overarching policy dealing with the 5 areas mentioned? What about the other areas?</w:t>
            </w:r>
          </w:p>
        </w:tc>
      </w:tr>
      <w:tr w:rsidR="00A70A45" w:rsidRPr="00627CA9" w:rsidTr="00C50852">
        <w:trPr>
          <w:trHeight w:val="429"/>
        </w:trPr>
        <w:tc>
          <w:tcPr>
            <w:tcW w:w="1844" w:type="dxa"/>
            <w:vMerge/>
          </w:tcPr>
          <w:p w:rsidR="00A70A45" w:rsidRPr="00B55515" w:rsidRDefault="00A70A45" w:rsidP="00BF49CD">
            <w:pPr>
              <w:rPr>
                <w:b/>
              </w:rPr>
            </w:pPr>
          </w:p>
        </w:tc>
        <w:tc>
          <w:tcPr>
            <w:tcW w:w="13182" w:type="dxa"/>
          </w:tcPr>
          <w:p w:rsidR="00A70A45" w:rsidRPr="00F02717" w:rsidRDefault="00A70A45" w:rsidP="00216A0A">
            <w:pPr>
              <w:rPr>
                <w:b/>
              </w:rPr>
            </w:pPr>
            <w:r w:rsidRPr="00F02717">
              <w:rPr>
                <w:b/>
              </w:rPr>
              <w:t>8.3 Staff Recruitment and Development</w:t>
            </w:r>
          </w:p>
          <w:p w:rsidR="00A70A45" w:rsidRPr="00C16B21" w:rsidRDefault="00A70A45" w:rsidP="00726025">
            <w:pPr>
              <w:rPr>
                <w:b/>
                <w:i/>
              </w:rPr>
            </w:pPr>
            <w:r w:rsidRPr="00C16B21">
              <w:rPr>
                <w:b/>
                <w:i/>
              </w:rPr>
              <w:t>Clarification needed:</w:t>
            </w:r>
          </w:p>
          <w:p w:rsidR="00A70A45" w:rsidRPr="00993673" w:rsidRDefault="00A70A45" w:rsidP="00726025">
            <w:r>
              <w:t>Clearer definition of who</w:t>
            </w:r>
            <w:r w:rsidRPr="00993673">
              <w:t xml:space="preserve"> </w:t>
            </w:r>
            <w:r w:rsidR="00236C12">
              <w:t>‘</w:t>
            </w:r>
            <w:r w:rsidRPr="00993673">
              <w:t>programme staff</w:t>
            </w:r>
            <w:r w:rsidR="00236C12">
              <w:t>’ is needed</w:t>
            </w:r>
          </w:p>
          <w:p w:rsidR="00A70A45" w:rsidRPr="00324898" w:rsidRDefault="00A70A45" w:rsidP="00726025">
            <w:r w:rsidRPr="00993673">
              <w:t>“</w:t>
            </w:r>
            <w:r w:rsidRPr="00993673">
              <w:rPr>
                <w:color w:val="000000" w:themeColor="text1"/>
              </w:rPr>
              <w:t xml:space="preserve">A mechanism needs to be in place to impart feedback to staff members on their </w:t>
            </w:r>
            <w:r w:rsidRPr="00324898">
              <w:t xml:space="preserve">strengths and areas requiring improvement.” </w:t>
            </w:r>
          </w:p>
          <w:p w:rsidR="00A70A45" w:rsidRPr="00324898" w:rsidRDefault="00236C12" w:rsidP="009046D9">
            <w:pPr>
              <w:pStyle w:val="ListParagraph"/>
              <w:numPr>
                <w:ilvl w:val="0"/>
                <w:numId w:val="11"/>
              </w:numPr>
              <w:rPr>
                <w:rFonts w:asciiTheme="minorHAnsi" w:eastAsiaTheme="minorHAnsi" w:hAnsiTheme="minorHAnsi" w:cstheme="minorBidi"/>
                <w:szCs w:val="22"/>
                <w:lang w:val="en-GB"/>
              </w:rPr>
            </w:pPr>
            <w:r>
              <w:rPr>
                <w:rFonts w:asciiTheme="minorHAnsi" w:eastAsiaTheme="minorHAnsi" w:hAnsiTheme="minorHAnsi" w:cstheme="minorBidi"/>
                <w:szCs w:val="22"/>
                <w:lang w:val="en-GB"/>
              </w:rPr>
              <w:t>H</w:t>
            </w:r>
            <w:r w:rsidR="00A70A45" w:rsidRPr="00324898">
              <w:rPr>
                <w:rFonts w:asciiTheme="minorHAnsi" w:eastAsiaTheme="minorHAnsi" w:hAnsiTheme="minorHAnsi" w:cstheme="minorBidi"/>
                <w:szCs w:val="22"/>
                <w:lang w:val="en-GB"/>
              </w:rPr>
              <w:t xml:space="preserve">ow will this be done and who will do it? </w:t>
            </w:r>
          </w:p>
          <w:p w:rsidR="00A70A45" w:rsidRPr="00324898" w:rsidRDefault="00A70A45" w:rsidP="009046D9">
            <w:pPr>
              <w:pStyle w:val="ListParagraph"/>
              <w:numPr>
                <w:ilvl w:val="0"/>
                <w:numId w:val="11"/>
              </w:numPr>
              <w:rPr>
                <w:rFonts w:asciiTheme="minorHAnsi" w:eastAsiaTheme="minorHAnsi" w:hAnsiTheme="minorHAnsi" w:cstheme="minorBidi"/>
                <w:szCs w:val="22"/>
                <w:lang w:val="en-GB"/>
              </w:rPr>
            </w:pPr>
            <w:r w:rsidRPr="00324898">
              <w:rPr>
                <w:rFonts w:asciiTheme="minorHAnsi" w:eastAsiaTheme="minorHAnsi" w:hAnsiTheme="minorHAnsi" w:cstheme="minorBidi"/>
                <w:szCs w:val="22"/>
                <w:lang w:val="en-GB"/>
              </w:rPr>
              <w:t xml:space="preserve">Will a PMDS type system be required? </w:t>
            </w:r>
          </w:p>
          <w:p w:rsidR="00A70A45" w:rsidRPr="00324898" w:rsidRDefault="00A70A45" w:rsidP="009046D9">
            <w:pPr>
              <w:pStyle w:val="ListParagraph"/>
              <w:numPr>
                <w:ilvl w:val="0"/>
                <w:numId w:val="11"/>
              </w:numPr>
              <w:rPr>
                <w:rFonts w:asciiTheme="minorHAnsi" w:eastAsiaTheme="minorHAnsi" w:hAnsiTheme="minorHAnsi" w:cstheme="minorBidi"/>
                <w:szCs w:val="22"/>
                <w:lang w:val="en-GB"/>
              </w:rPr>
            </w:pPr>
            <w:r w:rsidRPr="00324898">
              <w:rPr>
                <w:rFonts w:asciiTheme="minorHAnsi" w:eastAsiaTheme="minorHAnsi" w:hAnsiTheme="minorHAnsi" w:cstheme="minorBidi"/>
                <w:szCs w:val="22"/>
                <w:lang w:val="en-GB"/>
              </w:rPr>
              <w:t xml:space="preserve">Is this for programme staff or for particular sections of staff involved </w:t>
            </w:r>
            <w:r w:rsidR="00236C12">
              <w:rPr>
                <w:rFonts w:asciiTheme="minorHAnsi" w:eastAsiaTheme="minorHAnsi" w:hAnsiTheme="minorHAnsi" w:cstheme="minorBidi"/>
                <w:szCs w:val="22"/>
                <w:lang w:val="en-GB"/>
              </w:rPr>
              <w:t>in the provision of a programme?</w:t>
            </w:r>
          </w:p>
          <w:p w:rsidR="00A70A45" w:rsidRPr="00324898" w:rsidRDefault="00A70A45" w:rsidP="009046D9">
            <w:pPr>
              <w:pStyle w:val="ListParagraph"/>
              <w:numPr>
                <w:ilvl w:val="0"/>
                <w:numId w:val="11"/>
              </w:numPr>
              <w:rPr>
                <w:rFonts w:asciiTheme="minorHAnsi" w:eastAsiaTheme="minorHAnsi" w:hAnsiTheme="minorHAnsi" w:cstheme="minorBidi"/>
                <w:szCs w:val="22"/>
                <w:lang w:val="en-GB"/>
              </w:rPr>
            </w:pPr>
            <w:r w:rsidRPr="00324898">
              <w:rPr>
                <w:rFonts w:asciiTheme="minorHAnsi" w:eastAsiaTheme="minorHAnsi" w:hAnsiTheme="minorHAnsi" w:cstheme="minorBidi"/>
                <w:szCs w:val="22"/>
                <w:lang w:val="en-GB"/>
              </w:rPr>
              <w:t>Will staff induction be built into the general staff development procedure?</w:t>
            </w:r>
          </w:p>
          <w:p w:rsidR="00236C12" w:rsidRDefault="00A70A45" w:rsidP="00236C12">
            <w:r>
              <w:t>Should Staff Recruitment and Al</w:t>
            </w:r>
            <w:r w:rsidR="00236C12">
              <w:t>location be numbered 8.3.1 and 8.3.2 for Staff Development?</w:t>
            </w:r>
          </w:p>
          <w:p w:rsidR="00A70A45" w:rsidRDefault="00A70A45" w:rsidP="00236C12">
            <w:r>
              <w:t>Communication with staff is included in the table on page 10 but not referenced here.</w:t>
            </w:r>
          </w:p>
        </w:tc>
      </w:tr>
      <w:tr w:rsidR="00A70A45" w:rsidRPr="00627CA9" w:rsidTr="00C50852">
        <w:trPr>
          <w:trHeight w:val="985"/>
        </w:trPr>
        <w:tc>
          <w:tcPr>
            <w:tcW w:w="1844" w:type="dxa"/>
            <w:vMerge/>
          </w:tcPr>
          <w:p w:rsidR="00A70A45" w:rsidRPr="00B55515" w:rsidRDefault="00A70A45" w:rsidP="00BF49CD">
            <w:pPr>
              <w:rPr>
                <w:b/>
              </w:rPr>
            </w:pPr>
          </w:p>
        </w:tc>
        <w:tc>
          <w:tcPr>
            <w:tcW w:w="13182" w:type="dxa"/>
          </w:tcPr>
          <w:p w:rsidR="00A70A45" w:rsidRPr="00F02717" w:rsidRDefault="00A70A45" w:rsidP="00726025">
            <w:pPr>
              <w:rPr>
                <w:b/>
              </w:rPr>
            </w:pPr>
            <w:r w:rsidRPr="00F02717">
              <w:rPr>
                <w:b/>
              </w:rPr>
              <w:t xml:space="preserve">8.4 Teaching and Learning: </w:t>
            </w:r>
          </w:p>
          <w:p w:rsidR="00A70A45" w:rsidRPr="00C16B21" w:rsidRDefault="00A70A45" w:rsidP="00726025">
            <w:pPr>
              <w:rPr>
                <w:b/>
                <w:i/>
              </w:rPr>
            </w:pPr>
            <w:r w:rsidRPr="00C16B21">
              <w:rPr>
                <w:b/>
                <w:i/>
              </w:rPr>
              <w:t>What’s new:</w:t>
            </w:r>
          </w:p>
          <w:p w:rsidR="00A70A45" w:rsidRPr="00993673" w:rsidRDefault="00A70A45" w:rsidP="00726025">
            <w:r w:rsidRPr="00993673">
              <w:t>Tea</w:t>
            </w:r>
            <w:r>
              <w:t xml:space="preserve">ching and Learning policy, which requires the </w:t>
            </w:r>
            <w:r w:rsidRPr="00993673">
              <w:t>on-going monitoring of student learning experience</w:t>
            </w:r>
          </w:p>
          <w:p w:rsidR="00A70A45" w:rsidRPr="00C16B21" w:rsidRDefault="00A70A45" w:rsidP="00726025">
            <w:pPr>
              <w:rPr>
                <w:b/>
                <w:i/>
              </w:rPr>
            </w:pPr>
            <w:r w:rsidRPr="00C16B21">
              <w:rPr>
                <w:b/>
                <w:i/>
              </w:rPr>
              <w:t>Clarification needed:</w:t>
            </w:r>
          </w:p>
          <w:p w:rsidR="00A70A45" w:rsidRDefault="00A70A45" w:rsidP="00726025">
            <w:r w:rsidRPr="00993673">
              <w:t>Quality of teaching and quality of learning – does this link to Quality Management issue around PMDS</w:t>
            </w:r>
            <w:r>
              <w:t xml:space="preserve"> type system</w:t>
            </w:r>
            <w:r w:rsidRPr="00993673">
              <w:t xml:space="preserve"> </w:t>
            </w:r>
          </w:p>
          <w:p w:rsidR="00FE5AB9" w:rsidRPr="00055CE1" w:rsidRDefault="00FE5AB9" w:rsidP="00726025">
            <w:pPr>
              <w:rPr>
                <w:sz w:val="16"/>
                <w:szCs w:val="16"/>
              </w:rPr>
            </w:pPr>
          </w:p>
          <w:p w:rsidR="00A70A45" w:rsidRDefault="00A70A45" w:rsidP="00DD3F72">
            <w:pPr>
              <w:ind w:left="720"/>
            </w:pPr>
            <w:r w:rsidRPr="00F02717">
              <w:rPr>
                <w:b/>
              </w:rPr>
              <w:t>8.4.1 Programme Profile:</w:t>
            </w:r>
            <w:r w:rsidRPr="00993673">
              <w:t xml:space="preserve"> </w:t>
            </w:r>
          </w:p>
          <w:p w:rsidR="00A70A45" w:rsidRPr="00C16B21" w:rsidRDefault="00A70A45" w:rsidP="00DD3F72">
            <w:pPr>
              <w:ind w:left="720"/>
              <w:rPr>
                <w:b/>
                <w:i/>
              </w:rPr>
            </w:pPr>
            <w:r w:rsidRPr="00C16B21">
              <w:rPr>
                <w:b/>
                <w:i/>
              </w:rPr>
              <w:t>What’s new:</w:t>
            </w:r>
          </w:p>
          <w:p w:rsidR="00A70A45" w:rsidRDefault="00A70A45" w:rsidP="00DD3F72">
            <w:pPr>
              <w:ind w:left="720"/>
            </w:pPr>
            <w:r w:rsidRPr="00993673">
              <w:t xml:space="preserve">Requirement to identify </w:t>
            </w:r>
            <w:r w:rsidRPr="00BD09F6">
              <w:t>teaching and skills expertise required for the programme</w:t>
            </w:r>
          </w:p>
          <w:p w:rsidR="00A70A45" w:rsidRPr="00C16B21" w:rsidRDefault="00A70A45" w:rsidP="00DD3F72">
            <w:pPr>
              <w:ind w:left="720"/>
              <w:rPr>
                <w:b/>
                <w:i/>
              </w:rPr>
            </w:pPr>
            <w:r w:rsidRPr="00C16B21">
              <w:rPr>
                <w:b/>
                <w:i/>
              </w:rPr>
              <w:t>Clarification needed:</w:t>
            </w:r>
          </w:p>
          <w:p w:rsidR="00A70A45" w:rsidRDefault="00A70A45" w:rsidP="00236C12">
            <w:pPr>
              <w:ind w:left="720"/>
            </w:pPr>
            <w:r w:rsidRPr="00993673">
              <w:lastRenderedPageBreak/>
              <w:t>Is programme profile being redefined from its current definition (ref: what appears on QQI website in relation to validated programmes)</w:t>
            </w:r>
            <w:r>
              <w:t>?</w:t>
            </w:r>
          </w:p>
          <w:p w:rsidR="00FE5AB9" w:rsidRPr="00055CE1" w:rsidRDefault="00FE5AB9" w:rsidP="00236C12">
            <w:pPr>
              <w:ind w:left="720"/>
              <w:rPr>
                <w:sz w:val="16"/>
                <w:szCs w:val="16"/>
              </w:rPr>
            </w:pPr>
          </w:p>
          <w:p w:rsidR="00A70A45" w:rsidRDefault="00A70A45" w:rsidP="00DD3F72">
            <w:pPr>
              <w:ind w:left="720"/>
            </w:pPr>
            <w:r w:rsidRPr="00BD09F6">
              <w:rPr>
                <w:b/>
              </w:rPr>
              <w:t>8.4.2 Feedback on Programme Experience</w:t>
            </w:r>
          </w:p>
          <w:p w:rsidR="00A70A45" w:rsidRPr="00C16B21" w:rsidRDefault="00A70A45" w:rsidP="00DD3F72">
            <w:pPr>
              <w:ind w:left="720"/>
              <w:rPr>
                <w:b/>
                <w:i/>
              </w:rPr>
            </w:pPr>
            <w:r w:rsidRPr="00C16B21">
              <w:rPr>
                <w:b/>
                <w:i/>
              </w:rPr>
              <w:t>What’s new:</w:t>
            </w:r>
          </w:p>
          <w:p w:rsidR="00A70A45" w:rsidRPr="00993673" w:rsidRDefault="00A70A45" w:rsidP="00DD3F72">
            <w:pPr>
              <w:ind w:left="720"/>
            </w:pPr>
            <w:r w:rsidRPr="00993673">
              <w:t>This appears to be linked to procedural area</w:t>
            </w:r>
            <w:r>
              <w:t>s</w:t>
            </w:r>
            <w:r w:rsidRPr="00993673">
              <w:t xml:space="preserve"> across this QA model – in 4.1.1 and in 8.6.8 and also as part of the self-evaluation 8.11. This appears to be replacing the implementation of the Communications policy area and associated procedures in relation to the programmes and services</w:t>
            </w:r>
          </w:p>
          <w:p w:rsidR="00A70A45" w:rsidRPr="00C16B21" w:rsidRDefault="00A70A45" w:rsidP="00C16B21">
            <w:pPr>
              <w:ind w:left="720"/>
              <w:rPr>
                <w:b/>
                <w:i/>
              </w:rPr>
            </w:pPr>
            <w:r w:rsidRPr="00C16B21">
              <w:rPr>
                <w:b/>
                <w:i/>
              </w:rPr>
              <w:t>Suggestion:</w:t>
            </w:r>
          </w:p>
          <w:p w:rsidR="00A70A45" w:rsidRDefault="00A70A45" w:rsidP="00236C12">
            <w:pPr>
              <w:ind w:left="720"/>
            </w:pPr>
            <w:r w:rsidRPr="00993673">
              <w:t>Should include FEIs as well as HEIs</w:t>
            </w:r>
          </w:p>
          <w:p w:rsidR="00A70A45" w:rsidRPr="00993673" w:rsidRDefault="00A70A45" w:rsidP="00726025">
            <w:r w:rsidRPr="00DD3F72">
              <w:rPr>
                <w:b/>
              </w:rPr>
              <w:t>Learning Resources</w:t>
            </w:r>
            <w:r>
              <w:t>: no detail in body of document linked to this procedure – it should probably be 8.4.3 as it is listed in the table on page 10</w:t>
            </w:r>
          </w:p>
        </w:tc>
      </w:tr>
      <w:tr w:rsidR="00A70A45" w:rsidRPr="00627CA9" w:rsidTr="00C50852">
        <w:trPr>
          <w:trHeight w:val="270"/>
        </w:trPr>
        <w:tc>
          <w:tcPr>
            <w:tcW w:w="1844" w:type="dxa"/>
            <w:vMerge/>
          </w:tcPr>
          <w:p w:rsidR="00A70A45" w:rsidRPr="00B55515" w:rsidRDefault="00A70A45" w:rsidP="00BF49CD">
            <w:pPr>
              <w:rPr>
                <w:b/>
              </w:rPr>
            </w:pPr>
          </w:p>
        </w:tc>
        <w:tc>
          <w:tcPr>
            <w:tcW w:w="13182" w:type="dxa"/>
          </w:tcPr>
          <w:p w:rsidR="00A70A45" w:rsidRPr="00BD09F6" w:rsidRDefault="00A70A45" w:rsidP="00216A0A">
            <w:pPr>
              <w:rPr>
                <w:b/>
              </w:rPr>
            </w:pPr>
            <w:r w:rsidRPr="00BD09F6">
              <w:rPr>
                <w:b/>
              </w:rPr>
              <w:t xml:space="preserve">8.5 Access, Transfer and Progression </w:t>
            </w:r>
          </w:p>
          <w:p w:rsidR="00A70A45" w:rsidRPr="00C16B21" w:rsidRDefault="00A70A45" w:rsidP="00216A0A">
            <w:pPr>
              <w:rPr>
                <w:b/>
                <w:i/>
              </w:rPr>
            </w:pPr>
            <w:r w:rsidRPr="00C16B21">
              <w:rPr>
                <w:b/>
                <w:i/>
              </w:rPr>
              <w:t>What’s new:</w:t>
            </w:r>
          </w:p>
          <w:p w:rsidR="00A70A45" w:rsidRPr="00993673" w:rsidRDefault="00A70A45" w:rsidP="00216A0A">
            <w:r w:rsidRPr="00993673">
              <w:t>Linked to obligations in 2012 Act.</w:t>
            </w:r>
          </w:p>
          <w:p w:rsidR="00A70A45" w:rsidRPr="00C16B21" w:rsidRDefault="00A70A45" w:rsidP="00216A0A">
            <w:pPr>
              <w:rPr>
                <w:b/>
                <w:i/>
              </w:rPr>
            </w:pPr>
            <w:r w:rsidRPr="00C16B21">
              <w:rPr>
                <w:b/>
                <w:i/>
              </w:rPr>
              <w:t>Clarification needed:</w:t>
            </w:r>
          </w:p>
          <w:p w:rsidR="00A70A45" w:rsidRDefault="00A70A45" w:rsidP="00216A0A">
            <w:r>
              <w:t xml:space="preserve">Is </w:t>
            </w:r>
            <w:r w:rsidRPr="00993673">
              <w:t>the</w:t>
            </w:r>
            <w:r>
              <w:t xml:space="preserve"> reference to </w:t>
            </w:r>
            <w:r w:rsidRPr="00993673">
              <w:t>“successfully participate in a programme” replacing the “equipped to participate” statements that were pr</w:t>
            </w:r>
            <w:r>
              <w:t>eviously agreed with the sector? (later reference to “capacity to succeed” on page 15 might need to be considered in relation to this)</w:t>
            </w:r>
          </w:p>
          <w:p w:rsidR="00FE5AB9" w:rsidRPr="00055CE1" w:rsidRDefault="00FE5AB9" w:rsidP="00216A0A">
            <w:pPr>
              <w:rPr>
                <w:sz w:val="16"/>
                <w:szCs w:val="16"/>
              </w:rPr>
            </w:pPr>
          </w:p>
          <w:p w:rsidR="00A70A45" w:rsidRPr="00BD09F6" w:rsidRDefault="00A70A45" w:rsidP="00DD3F72">
            <w:pPr>
              <w:ind w:left="720"/>
              <w:rPr>
                <w:b/>
              </w:rPr>
            </w:pPr>
            <w:r w:rsidRPr="00BD09F6">
              <w:rPr>
                <w:b/>
              </w:rPr>
              <w:t xml:space="preserve">8.5.1 Information for Learners: </w:t>
            </w:r>
          </w:p>
          <w:p w:rsidR="00A70A45" w:rsidRPr="00C16B21" w:rsidRDefault="00A70A45" w:rsidP="00DD3F72">
            <w:pPr>
              <w:ind w:left="720"/>
              <w:rPr>
                <w:b/>
                <w:i/>
              </w:rPr>
            </w:pPr>
            <w:r w:rsidRPr="00C16B21">
              <w:rPr>
                <w:b/>
                <w:i/>
              </w:rPr>
              <w:t>What’s new:</w:t>
            </w:r>
          </w:p>
          <w:p w:rsidR="00A70A45" w:rsidRPr="00993673" w:rsidRDefault="00A70A45" w:rsidP="00DD3F72">
            <w:pPr>
              <w:ind w:left="720"/>
            </w:pPr>
            <w:r w:rsidRPr="00993673">
              <w:t>RPL arrangements may need to be included in programme descriptors.</w:t>
            </w:r>
          </w:p>
          <w:p w:rsidR="00A70A45" w:rsidRPr="00993673" w:rsidRDefault="00A70A45" w:rsidP="00DD3F72">
            <w:pPr>
              <w:ind w:left="720"/>
            </w:pPr>
            <w:r w:rsidRPr="00993673">
              <w:t>Information for international students – will information have to be available in a range of languages and/or different formats to facilitate accessibility</w:t>
            </w:r>
            <w:r w:rsidR="00236C12">
              <w:t>?</w:t>
            </w:r>
          </w:p>
          <w:p w:rsidR="00A70A45" w:rsidRPr="00993673" w:rsidRDefault="00A70A45" w:rsidP="00DD3F72">
            <w:pPr>
              <w:ind w:left="720"/>
            </w:pPr>
            <w:r w:rsidRPr="00993673">
              <w:t>New obligations of the 2012 Act:</w:t>
            </w:r>
          </w:p>
          <w:p w:rsidR="00A70A45" w:rsidRPr="007E6497" w:rsidRDefault="00A70A45" w:rsidP="00DD3F72">
            <w:pPr>
              <w:ind w:left="720"/>
              <w:jc w:val="both"/>
              <w:rPr>
                <w:rFonts w:cs="Arial"/>
                <w:i/>
              </w:rPr>
            </w:pPr>
            <w:r w:rsidRPr="00993673">
              <w:rPr>
                <w:rFonts w:cs="Arial"/>
                <w:i/>
                <w:color w:val="ED7D31" w:themeColor="accent2"/>
              </w:rPr>
              <w:t>Section 28</w:t>
            </w:r>
            <w:r w:rsidRPr="00993673">
              <w:rPr>
                <w:rFonts w:cs="Arial"/>
                <w:i/>
                <w:color w:val="ED7D31" w:themeColor="accent2"/>
              </w:rPr>
              <w:tab/>
              <w:t>on preparing and reporting on quality assurance procedures</w:t>
            </w:r>
            <w:r>
              <w:rPr>
                <w:rFonts w:cs="Arial"/>
                <w:i/>
                <w:color w:val="ED7D31" w:themeColor="accent2"/>
              </w:rPr>
              <w:t xml:space="preserve"> –</w:t>
            </w:r>
            <w:r w:rsidR="00055CE1">
              <w:rPr>
                <w:rFonts w:cs="Arial"/>
                <w:i/>
              </w:rPr>
              <w:t xml:space="preserve"> </w:t>
            </w:r>
            <w:r>
              <w:rPr>
                <w:rFonts w:cs="Arial"/>
                <w:i/>
              </w:rPr>
              <w:t>in writing and publishing review report of QA procedures</w:t>
            </w:r>
          </w:p>
          <w:p w:rsidR="00A70A45" w:rsidRPr="007E6497" w:rsidRDefault="00A70A45" w:rsidP="00DD3F72">
            <w:pPr>
              <w:ind w:left="720"/>
              <w:jc w:val="both"/>
              <w:rPr>
                <w:rFonts w:cs="Arial"/>
                <w:i/>
              </w:rPr>
            </w:pPr>
            <w:r w:rsidRPr="00993673">
              <w:rPr>
                <w:rFonts w:cs="Arial"/>
                <w:i/>
                <w:color w:val="ED7D31" w:themeColor="accent2"/>
              </w:rPr>
              <w:t>Section 30</w:t>
            </w:r>
            <w:r w:rsidRPr="00993673">
              <w:rPr>
                <w:rFonts w:cs="Arial"/>
                <w:i/>
                <w:color w:val="ED7D31" w:themeColor="accent2"/>
              </w:rPr>
              <w:tab/>
              <w:t>on publishing quality assurance procedures</w:t>
            </w:r>
            <w:r>
              <w:rPr>
                <w:rFonts w:cs="Arial"/>
                <w:i/>
                <w:color w:val="ED7D31" w:themeColor="accent2"/>
              </w:rPr>
              <w:t xml:space="preserve"> </w:t>
            </w:r>
            <w:r>
              <w:rPr>
                <w:rFonts w:cs="Arial"/>
                <w:i/>
              </w:rPr>
              <w:t>– publishing (including on the internet) and submitting to QQI</w:t>
            </w:r>
          </w:p>
          <w:p w:rsidR="00A70A45" w:rsidRPr="007E6497" w:rsidRDefault="00A70A45" w:rsidP="00DD3F72">
            <w:pPr>
              <w:ind w:left="720"/>
              <w:jc w:val="both"/>
              <w:rPr>
                <w:rFonts w:cs="Arial"/>
              </w:rPr>
            </w:pPr>
            <w:r w:rsidRPr="00993673">
              <w:rPr>
                <w:rFonts w:cs="Arial"/>
                <w:i/>
                <w:color w:val="ED7D31" w:themeColor="accent2"/>
              </w:rPr>
              <w:t>Section 45</w:t>
            </w:r>
            <w:r w:rsidRPr="00993673">
              <w:rPr>
                <w:rFonts w:cs="Arial"/>
                <w:i/>
                <w:color w:val="ED7D31" w:themeColor="accent2"/>
              </w:rPr>
              <w:tab/>
              <w:t>on information relating to validated and non-validated programmes</w:t>
            </w:r>
            <w:r>
              <w:rPr>
                <w:rFonts w:cs="Arial"/>
                <w:i/>
                <w:color w:val="ED7D31" w:themeColor="accent2"/>
              </w:rPr>
              <w:t xml:space="preserve"> – </w:t>
            </w:r>
            <w:r w:rsidRPr="007E6497">
              <w:rPr>
                <w:rFonts w:cs="Arial"/>
              </w:rPr>
              <w:t>Does this refer to information that QQI require or may require?</w:t>
            </w:r>
            <w:r>
              <w:rPr>
                <w:rFonts w:cs="Arial"/>
              </w:rPr>
              <w:t xml:space="preserve"> It is an offence to falsely claim that a programme has been validated by QQI.</w:t>
            </w:r>
          </w:p>
          <w:p w:rsidR="00A70A45" w:rsidRPr="007E6497" w:rsidRDefault="00A70A45" w:rsidP="00DD3F72">
            <w:pPr>
              <w:ind w:left="720"/>
              <w:jc w:val="both"/>
              <w:rPr>
                <w:rFonts w:cs="Arial"/>
                <w:i/>
              </w:rPr>
            </w:pPr>
            <w:r w:rsidRPr="00993673">
              <w:rPr>
                <w:rFonts w:cs="Arial"/>
                <w:i/>
                <w:color w:val="ED7D31" w:themeColor="accent2"/>
              </w:rPr>
              <w:t>Section 50</w:t>
            </w:r>
            <w:r w:rsidRPr="00993673">
              <w:rPr>
                <w:rFonts w:cs="Arial"/>
                <w:i/>
                <w:color w:val="ED7D31" w:themeColor="accent2"/>
              </w:rPr>
              <w:tab/>
              <w:t>on completion of programmes and attainment of standards</w:t>
            </w:r>
            <w:r>
              <w:rPr>
                <w:rFonts w:cs="Arial"/>
                <w:i/>
                <w:color w:val="ED7D31" w:themeColor="accent2"/>
              </w:rPr>
              <w:t xml:space="preserve"> – </w:t>
            </w:r>
            <w:r w:rsidRPr="00E60F29">
              <w:rPr>
                <w:rFonts w:cs="Arial"/>
              </w:rPr>
              <w:t>It is an offence if the provider claims that a learner is entitled to an award wh</w:t>
            </w:r>
            <w:r>
              <w:rPr>
                <w:rFonts w:cs="Arial"/>
              </w:rPr>
              <w:t>e</w:t>
            </w:r>
            <w:r w:rsidR="00D438BE">
              <w:rPr>
                <w:rFonts w:cs="Arial"/>
              </w:rPr>
              <w:t>n they are not entitled to it. D</w:t>
            </w:r>
            <w:r>
              <w:rPr>
                <w:rFonts w:cs="Arial"/>
              </w:rPr>
              <w:t>oes this mean that a provider cannot claim that a learner will receive a QQI award on completion of a</w:t>
            </w:r>
            <w:r w:rsidR="00D438BE">
              <w:rPr>
                <w:rFonts w:cs="Arial"/>
              </w:rPr>
              <w:t xml:space="preserve"> programme if that is not true?</w:t>
            </w:r>
          </w:p>
          <w:p w:rsidR="00A70A45" w:rsidRPr="00E60F29" w:rsidRDefault="00A70A45" w:rsidP="00DD3F72">
            <w:pPr>
              <w:ind w:left="720"/>
              <w:jc w:val="both"/>
              <w:rPr>
                <w:rFonts w:cs="Arial"/>
              </w:rPr>
            </w:pPr>
            <w:r w:rsidRPr="00993673">
              <w:rPr>
                <w:rFonts w:cs="Arial"/>
                <w:i/>
                <w:color w:val="ED7D31" w:themeColor="accent2"/>
              </w:rPr>
              <w:t>Section 56</w:t>
            </w:r>
            <w:r w:rsidRPr="00993673">
              <w:rPr>
                <w:rFonts w:cs="Arial"/>
                <w:i/>
                <w:color w:val="ED7D31" w:themeColor="accent2"/>
              </w:rPr>
              <w:tab/>
              <w:t>on procedures for access, transfer and progression</w:t>
            </w:r>
            <w:r>
              <w:rPr>
                <w:rFonts w:cs="Arial"/>
                <w:i/>
                <w:color w:val="ED7D31" w:themeColor="accent2"/>
              </w:rPr>
              <w:t xml:space="preserve"> – </w:t>
            </w:r>
            <w:r>
              <w:rPr>
                <w:rFonts w:cs="Arial"/>
              </w:rPr>
              <w:t>publish (including on the internet)</w:t>
            </w:r>
          </w:p>
          <w:p w:rsidR="00A70A45" w:rsidRPr="00E60F29" w:rsidRDefault="00A70A45" w:rsidP="00DD3F72">
            <w:pPr>
              <w:ind w:left="720"/>
              <w:jc w:val="both"/>
              <w:rPr>
                <w:rFonts w:cs="Arial"/>
              </w:rPr>
            </w:pPr>
            <w:r w:rsidRPr="00993673">
              <w:rPr>
                <w:rFonts w:cs="Arial"/>
                <w:i/>
                <w:color w:val="ED7D31" w:themeColor="accent2"/>
              </w:rPr>
              <w:t>Section 61</w:t>
            </w:r>
            <w:r w:rsidRPr="00993673">
              <w:rPr>
                <w:rFonts w:cs="Arial"/>
                <w:i/>
                <w:color w:val="ED7D31" w:themeColor="accent2"/>
              </w:rPr>
              <w:tab/>
              <w:t>on the International Education Mark</w:t>
            </w:r>
            <w:r>
              <w:rPr>
                <w:rFonts w:cs="Arial"/>
                <w:i/>
                <w:color w:val="ED7D31" w:themeColor="accent2"/>
              </w:rPr>
              <w:t xml:space="preserve"> – </w:t>
            </w:r>
            <w:r>
              <w:rPr>
                <w:rFonts w:cs="Arial"/>
              </w:rPr>
              <w:t>Only providers who are authorised to use the IEM can use it</w:t>
            </w:r>
          </w:p>
          <w:p w:rsidR="00A70A45" w:rsidRPr="00E60F29" w:rsidRDefault="00A70A45" w:rsidP="00DD3F72">
            <w:pPr>
              <w:ind w:left="720"/>
              <w:jc w:val="both"/>
              <w:rPr>
                <w:rFonts w:cs="Arial"/>
              </w:rPr>
            </w:pPr>
            <w:r w:rsidRPr="00993673">
              <w:rPr>
                <w:rFonts w:cs="Arial"/>
                <w:i/>
                <w:color w:val="ED7D31" w:themeColor="accent2"/>
              </w:rPr>
              <w:t>Section 65</w:t>
            </w:r>
            <w:r w:rsidRPr="00993673">
              <w:rPr>
                <w:rFonts w:cs="Arial"/>
                <w:i/>
                <w:color w:val="ED7D31" w:themeColor="accent2"/>
              </w:rPr>
              <w:tab/>
              <w:t>on arrangements for Protection for En</w:t>
            </w:r>
            <w:r>
              <w:rPr>
                <w:rFonts w:cs="Arial"/>
                <w:i/>
                <w:color w:val="ED7D31" w:themeColor="accent2"/>
              </w:rPr>
              <w:t xml:space="preserve">rolled Learners (ref 8.8 below) – </w:t>
            </w:r>
            <w:r>
              <w:rPr>
                <w:rFonts w:cs="Arial"/>
              </w:rPr>
              <w:t>Learners must be informed of the provider arrangements in this area</w:t>
            </w:r>
          </w:p>
          <w:p w:rsidR="00A70A45" w:rsidRPr="00527D36" w:rsidRDefault="00A70A45" w:rsidP="00DD3F72">
            <w:pPr>
              <w:ind w:left="720"/>
              <w:jc w:val="both"/>
              <w:rPr>
                <w:rFonts w:cs="Arial"/>
              </w:rPr>
            </w:pPr>
            <w:r w:rsidRPr="00993673">
              <w:rPr>
                <w:rFonts w:cs="Arial"/>
                <w:i/>
                <w:color w:val="ED7D31" w:themeColor="accent2"/>
              </w:rPr>
              <w:t>Section 67</w:t>
            </w:r>
            <w:r w:rsidRPr="00993673">
              <w:rPr>
                <w:rFonts w:cs="Arial"/>
                <w:i/>
                <w:color w:val="ED7D31" w:themeColor="accent2"/>
              </w:rPr>
              <w:tab/>
              <w:t>on Information to enrolled learners.</w:t>
            </w:r>
            <w:r>
              <w:rPr>
                <w:rFonts w:cs="Arial"/>
                <w:i/>
                <w:color w:val="ED7D31" w:themeColor="accent2"/>
              </w:rPr>
              <w:t xml:space="preserve"> – </w:t>
            </w:r>
            <w:r>
              <w:rPr>
                <w:rFonts w:cs="Arial"/>
              </w:rPr>
              <w:t xml:space="preserve">lists the requirements in relation to what providers must tell learners and also </w:t>
            </w:r>
            <w:r>
              <w:rPr>
                <w:rFonts w:cs="Arial"/>
              </w:rPr>
              <w:lastRenderedPageBreak/>
              <w:t>must inform learners of subsequent changes within a specified timeframe. It is an offence to mislead learners.</w:t>
            </w:r>
          </w:p>
          <w:p w:rsidR="00A70A45" w:rsidRPr="00527D36" w:rsidRDefault="00A70A45" w:rsidP="00DD3F72">
            <w:pPr>
              <w:ind w:left="720"/>
              <w:jc w:val="both"/>
              <w:rPr>
                <w:rFonts w:cs="Arial"/>
              </w:rPr>
            </w:pPr>
            <w:r w:rsidRPr="00993673">
              <w:rPr>
                <w:rFonts w:cs="Arial"/>
                <w:i/>
                <w:color w:val="ED7D31" w:themeColor="accent2"/>
              </w:rPr>
              <w:t>Section 78</w:t>
            </w:r>
            <w:r w:rsidRPr="00993673">
              <w:rPr>
                <w:rFonts w:cs="Arial"/>
                <w:i/>
                <w:color w:val="ED7D31" w:themeColor="accent2"/>
              </w:rPr>
              <w:tab/>
              <w:t>on the Register of Providers.</w:t>
            </w:r>
            <w:r>
              <w:rPr>
                <w:rFonts w:cs="Arial"/>
                <w:i/>
                <w:color w:val="ED7D31" w:themeColor="accent2"/>
              </w:rPr>
              <w:t xml:space="preserve"> – </w:t>
            </w:r>
            <w:r>
              <w:rPr>
                <w:rFonts w:cs="Arial"/>
              </w:rPr>
              <w:t xml:space="preserve">Providers responsibility in relation to the QQI register of providers </w:t>
            </w:r>
          </w:p>
          <w:p w:rsidR="00A70A45" w:rsidRDefault="00A70A45" w:rsidP="00D438BE">
            <w:pPr>
              <w:ind w:left="720"/>
              <w:rPr>
                <w:rFonts w:cs="Arial"/>
                <w:color w:val="000000"/>
              </w:rPr>
            </w:pPr>
            <w:r w:rsidRPr="00993673">
              <w:rPr>
                <w:rFonts w:cs="Arial"/>
                <w:i/>
                <w:color w:val="ED7D31" w:themeColor="accent2"/>
              </w:rPr>
              <w:t>Section 79</w:t>
            </w:r>
            <w:r w:rsidRPr="00993673">
              <w:rPr>
                <w:rFonts w:cs="Arial"/>
                <w:i/>
                <w:color w:val="ED7D31" w:themeColor="accent2"/>
              </w:rPr>
              <w:tab/>
              <w:t>on the database of awards and programmes</w:t>
            </w:r>
            <w:r>
              <w:rPr>
                <w:rFonts w:cs="Arial"/>
                <w:color w:val="000000"/>
              </w:rPr>
              <w:t xml:space="preserve"> – Provider obligation to inform QQI of changes affecting this</w:t>
            </w:r>
          </w:p>
          <w:p w:rsidR="00FE5AB9" w:rsidRPr="00055CE1" w:rsidRDefault="00FE5AB9" w:rsidP="00D438BE">
            <w:pPr>
              <w:ind w:left="720"/>
              <w:rPr>
                <w:rFonts w:cs="Arial"/>
                <w:color w:val="000000"/>
                <w:sz w:val="16"/>
                <w:szCs w:val="16"/>
              </w:rPr>
            </w:pPr>
          </w:p>
          <w:p w:rsidR="00A70A45" w:rsidRPr="00DD3F72" w:rsidRDefault="00A70A45" w:rsidP="00DD3F72">
            <w:pPr>
              <w:ind w:left="720"/>
              <w:rPr>
                <w:b/>
              </w:rPr>
            </w:pPr>
            <w:r w:rsidRPr="00DD3F72">
              <w:rPr>
                <w:b/>
              </w:rPr>
              <w:t xml:space="preserve">8.5.2 Learner Entry Arrangements: </w:t>
            </w:r>
          </w:p>
          <w:p w:rsidR="00A70A45" w:rsidRPr="00C16B21" w:rsidRDefault="00A70A45" w:rsidP="00DD3F72">
            <w:pPr>
              <w:ind w:left="720"/>
              <w:rPr>
                <w:b/>
                <w:i/>
              </w:rPr>
            </w:pPr>
            <w:r w:rsidRPr="00C16B21">
              <w:rPr>
                <w:b/>
                <w:i/>
              </w:rPr>
              <w:t>What’s new:</w:t>
            </w:r>
          </w:p>
          <w:p w:rsidR="00A70A45" w:rsidRDefault="00A70A45" w:rsidP="00DD3F72">
            <w:pPr>
              <w:ind w:left="720"/>
            </w:pPr>
            <w:r w:rsidRPr="00993673">
              <w:t xml:space="preserve">Requirements for people whose first language is not English (what IELTS level </w:t>
            </w:r>
            <w:r w:rsidR="00D438BE">
              <w:t>is required</w:t>
            </w:r>
            <w:r w:rsidRPr="00993673">
              <w:t>)</w:t>
            </w:r>
          </w:p>
          <w:p w:rsidR="00A70A45" w:rsidRDefault="00A70A45" w:rsidP="00D438BE">
            <w:pPr>
              <w:ind w:left="720"/>
            </w:pPr>
            <w:r>
              <w:t>There appears to be additional responsibilities around providing information to learners whose first language is not English</w:t>
            </w:r>
          </w:p>
          <w:p w:rsidR="00FE5AB9" w:rsidRPr="00055CE1" w:rsidRDefault="00FE5AB9" w:rsidP="00D438BE">
            <w:pPr>
              <w:ind w:left="720"/>
              <w:rPr>
                <w:sz w:val="16"/>
                <w:szCs w:val="16"/>
              </w:rPr>
            </w:pPr>
          </w:p>
          <w:p w:rsidR="00A70A45" w:rsidRPr="00DD3F72" w:rsidRDefault="00A70A45" w:rsidP="00DD3F72">
            <w:pPr>
              <w:ind w:left="720"/>
              <w:rPr>
                <w:b/>
              </w:rPr>
            </w:pPr>
            <w:r w:rsidRPr="00DD3F72">
              <w:rPr>
                <w:b/>
              </w:rPr>
              <w:t>8.5.3 Recognition of Prior Learning:</w:t>
            </w:r>
          </w:p>
          <w:p w:rsidR="00A70A45" w:rsidRPr="00C16B21" w:rsidRDefault="00A70A45" w:rsidP="00DD3F72">
            <w:pPr>
              <w:ind w:left="720"/>
              <w:rPr>
                <w:b/>
                <w:i/>
              </w:rPr>
            </w:pPr>
            <w:r w:rsidRPr="00C16B21">
              <w:rPr>
                <w:b/>
                <w:i/>
              </w:rPr>
              <w:t xml:space="preserve">What’s new: </w:t>
            </w:r>
          </w:p>
          <w:p w:rsidR="00A70A45" w:rsidRPr="00993673" w:rsidRDefault="00A70A45" w:rsidP="00DD3F72">
            <w:pPr>
              <w:ind w:left="720"/>
            </w:pPr>
            <w:r w:rsidRPr="00993673">
              <w:t>RPL for entry, credit and access is similar to the previous QA agreement but now B10 appears to be absorbed into it</w:t>
            </w:r>
          </w:p>
          <w:p w:rsidR="00A70A45" w:rsidRPr="00C16B21" w:rsidRDefault="00A70A45" w:rsidP="00324898">
            <w:pPr>
              <w:ind w:left="720"/>
              <w:jc w:val="both"/>
              <w:rPr>
                <w:b/>
                <w:i/>
              </w:rPr>
            </w:pPr>
            <w:r w:rsidRPr="00C16B21">
              <w:rPr>
                <w:b/>
                <w:i/>
              </w:rPr>
              <w:t>Clarification needed:</w:t>
            </w:r>
          </w:p>
          <w:p w:rsidR="00A70A45" w:rsidRDefault="00A70A45" w:rsidP="000B313E">
            <w:pPr>
              <w:ind w:left="720"/>
              <w:jc w:val="both"/>
            </w:pPr>
            <w:r w:rsidRPr="000B313E">
              <w:t xml:space="preserve">An ETB is required to develop a statement of the arrangements it provides, if any, in respect of the recognition of prior learning for entry to programmes, for credit towards an award and for access to an award.   </w:t>
            </w:r>
            <w:r w:rsidRPr="00993673">
              <w:t>Can providers decided to not have any RPL arrangements in place for any of the 3 – entry, credit, access?</w:t>
            </w:r>
          </w:p>
          <w:p w:rsidR="00A70A45" w:rsidRPr="00C16B21" w:rsidRDefault="00A70A45" w:rsidP="00DD3F72">
            <w:pPr>
              <w:ind w:left="720"/>
              <w:rPr>
                <w:b/>
                <w:i/>
              </w:rPr>
            </w:pPr>
            <w:r w:rsidRPr="00C16B21">
              <w:rPr>
                <w:b/>
                <w:i/>
              </w:rPr>
              <w:t>Comment:</w:t>
            </w:r>
          </w:p>
          <w:p w:rsidR="00A70A45" w:rsidRDefault="00A70A45" w:rsidP="00FE5AB9">
            <w:pPr>
              <w:ind w:left="720"/>
            </w:pPr>
            <w:r w:rsidRPr="00993673">
              <w:t>RPL policy and procedures for access to an award(section B10 of current QA) will need to be addressed by the sector</w:t>
            </w:r>
          </w:p>
          <w:p w:rsidR="00FE5AB9" w:rsidRPr="00055CE1" w:rsidRDefault="00FE5AB9" w:rsidP="00FE5AB9">
            <w:pPr>
              <w:ind w:left="720"/>
              <w:rPr>
                <w:sz w:val="16"/>
                <w:szCs w:val="16"/>
              </w:rPr>
            </w:pPr>
          </w:p>
          <w:p w:rsidR="00A70A45" w:rsidRDefault="00A70A45" w:rsidP="00DD3F72">
            <w:pPr>
              <w:ind w:left="720"/>
            </w:pPr>
            <w:r w:rsidRPr="00DD3F72">
              <w:rPr>
                <w:b/>
              </w:rPr>
              <w:t>8.5.4 Facilitation of Diversity</w:t>
            </w:r>
            <w:r>
              <w:t xml:space="preserve"> – called Facilitating Diversity elsewhere</w:t>
            </w:r>
          </w:p>
          <w:p w:rsidR="00A70A45" w:rsidRPr="00C16B21" w:rsidRDefault="00A70A45" w:rsidP="00DD3F72">
            <w:pPr>
              <w:ind w:left="720"/>
              <w:rPr>
                <w:b/>
                <w:i/>
              </w:rPr>
            </w:pPr>
            <w:r w:rsidRPr="00C16B21">
              <w:rPr>
                <w:b/>
                <w:i/>
              </w:rPr>
              <w:t>Clarification needed:</w:t>
            </w:r>
          </w:p>
          <w:p w:rsidR="00A70A45" w:rsidRPr="00993673" w:rsidRDefault="00A70A45" w:rsidP="00DD3F72">
            <w:pPr>
              <w:ind w:left="720"/>
            </w:pPr>
            <w:r w:rsidRPr="00993673">
              <w:t xml:space="preserve">Is this where </w:t>
            </w:r>
            <w:r>
              <w:t xml:space="preserve">aspects of </w:t>
            </w:r>
            <w:r w:rsidRPr="00993673">
              <w:t xml:space="preserve">B2 </w:t>
            </w:r>
            <w:r>
              <w:t>Equality of the old QA agreement are</w:t>
            </w:r>
            <w:r w:rsidRPr="00993673">
              <w:t xml:space="preserve"> to be integrated?</w:t>
            </w:r>
          </w:p>
          <w:p w:rsidR="00A70A45" w:rsidRPr="00C16B21" w:rsidRDefault="00A70A45" w:rsidP="00DD3F72">
            <w:pPr>
              <w:ind w:left="720"/>
              <w:rPr>
                <w:b/>
                <w:i/>
              </w:rPr>
            </w:pPr>
            <w:r w:rsidRPr="00C16B21">
              <w:rPr>
                <w:b/>
                <w:i/>
              </w:rPr>
              <w:t>Comment:</w:t>
            </w:r>
          </w:p>
          <w:p w:rsidR="00A70A45" w:rsidRDefault="00A70A45" w:rsidP="00DD3F72">
            <w:pPr>
              <w:ind w:left="720"/>
            </w:pPr>
            <w:r w:rsidRPr="00993673">
              <w:t xml:space="preserve">Compliance with </w:t>
            </w:r>
            <w:r>
              <w:t>equality legislation appears to hinge on</w:t>
            </w:r>
            <w:r w:rsidRPr="00993673">
              <w:t xml:space="preserve"> access to the programme and participation on the programme.</w:t>
            </w:r>
          </w:p>
          <w:p w:rsidR="00A70A45" w:rsidRPr="00055CE1" w:rsidRDefault="00A70A45" w:rsidP="00DD3F72">
            <w:pPr>
              <w:ind w:left="720"/>
              <w:rPr>
                <w:sz w:val="16"/>
                <w:szCs w:val="16"/>
              </w:rPr>
            </w:pPr>
          </w:p>
          <w:p w:rsidR="00A70A45" w:rsidRPr="00DD3F72" w:rsidRDefault="00A70A45" w:rsidP="00DD3F72">
            <w:pPr>
              <w:ind w:left="720"/>
              <w:rPr>
                <w:b/>
              </w:rPr>
            </w:pPr>
            <w:r>
              <w:rPr>
                <w:b/>
              </w:rPr>
              <w:t xml:space="preserve">8.5.5 </w:t>
            </w:r>
            <w:r w:rsidRPr="00DD3F72">
              <w:rPr>
                <w:b/>
              </w:rPr>
              <w:t>Transfer and Progression:</w:t>
            </w:r>
          </w:p>
          <w:p w:rsidR="00A70A45" w:rsidRPr="0051083A" w:rsidRDefault="00A70A45" w:rsidP="00DD3F72">
            <w:pPr>
              <w:ind w:left="720"/>
              <w:rPr>
                <w:b/>
              </w:rPr>
            </w:pPr>
            <w:r w:rsidRPr="0051083A">
              <w:rPr>
                <w:b/>
              </w:rPr>
              <w:t>What’s new:</w:t>
            </w:r>
          </w:p>
          <w:p w:rsidR="00A70A45" w:rsidRDefault="00A70A45" w:rsidP="00F32E8E">
            <w:pPr>
              <w:ind w:left="720"/>
            </w:pPr>
            <w:r>
              <w:t>This is a new listed procedural area, it is the 5</w:t>
            </w:r>
            <w:r w:rsidRPr="001612CE">
              <w:rPr>
                <w:vertAlign w:val="superscript"/>
              </w:rPr>
              <w:t>th</w:t>
            </w:r>
            <w:r>
              <w:t xml:space="preserve"> procedure. </w:t>
            </w:r>
          </w:p>
          <w:p w:rsidR="00A70A45" w:rsidRDefault="00A70A45" w:rsidP="000B313E">
            <w:pPr>
              <w:ind w:left="720"/>
            </w:pPr>
            <w:r>
              <w:t>This appears to be a governance responsibility</w:t>
            </w:r>
          </w:p>
          <w:p w:rsidR="00A70A45" w:rsidRPr="0051083A" w:rsidRDefault="00A70A45" w:rsidP="00DD3F72">
            <w:pPr>
              <w:ind w:left="720"/>
              <w:rPr>
                <w:b/>
              </w:rPr>
            </w:pPr>
            <w:r w:rsidRPr="0051083A">
              <w:rPr>
                <w:b/>
              </w:rPr>
              <w:t xml:space="preserve">Clarification needed: </w:t>
            </w:r>
          </w:p>
          <w:p w:rsidR="00A70A45" w:rsidRPr="00993673" w:rsidRDefault="00A70A45" w:rsidP="00FE5AB9">
            <w:pPr>
              <w:ind w:left="720"/>
            </w:pPr>
            <w:r w:rsidRPr="00993673">
              <w:t>Are there implications here for learners who hold deactivated awards before RPL arrangements are put in place?</w:t>
            </w:r>
          </w:p>
        </w:tc>
      </w:tr>
      <w:tr w:rsidR="00A70A45" w:rsidRPr="00627CA9" w:rsidTr="00C50852">
        <w:trPr>
          <w:trHeight w:val="181"/>
        </w:trPr>
        <w:tc>
          <w:tcPr>
            <w:tcW w:w="1844" w:type="dxa"/>
            <w:vMerge/>
          </w:tcPr>
          <w:p w:rsidR="00A70A45" w:rsidRPr="00B55515" w:rsidRDefault="00A70A45" w:rsidP="00BF49CD">
            <w:pPr>
              <w:rPr>
                <w:b/>
              </w:rPr>
            </w:pPr>
          </w:p>
        </w:tc>
        <w:tc>
          <w:tcPr>
            <w:tcW w:w="13182" w:type="dxa"/>
          </w:tcPr>
          <w:p w:rsidR="00A70A45" w:rsidRPr="00DD3F72" w:rsidRDefault="00A70A45" w:rsidP="00216A0A">
            <w:pPr>
              <w:rPr>
                <w:b/>
              </w:rPr>
            </w:pPr>
            <w:r w:rsidRPr="00DD3F72">
              <w:rPr>
                <w:b/>
              </w:rPr>
              <w:t>8.6 Programme Design, Development, Delivery, Approval and Review</w:t>
            </w:r>
          </w:p>
          <w:p w:rsidR="00A70A45" w:rsidRPr="0051083A" w:rsidRDefault="00A70A45" w:rsidP="00216A0A">
            <w:pPr>
              <w:rPr>
                <w:b/>
                <w:i/>
              </w:rPr>
            </w:pPr>
            <w:r w:rsidRPr="0051083A">
              <w:rPr>
                <w:b/>
                <w:i/>
              </w:rPr>
              <w:t>Comments:</w:t>
            </w:r>
          </w:p>
          <w:p w:rsidR="00A70A45" w:rsidRPr="00993673" w:rsidRDefault="00A70A45" w:rsidP="00216A0A">
            <w:r w:rsidRPr="00993673">
              <w:t>Need identification missing from earlier reference to Programme Design, Development, Delivery, Approval and Review – page 10, should be consistent with pages 15/16.</w:t>
            </w:r>
          </w:p>
          <w:p w:rsidR="00A70A45" w:rsidRDefault="00A70A45" w:rsidP="00FA69B6">
            <w:r w:rsidRPr="00993673">
              <w:t>Heading is also not consistent</w:t>
            </w:r>
          </w:p>
          <w:p w:rsidR="00A70A45" w:rsidRPr="0051083A" w:rsidRDefault="00A70A45" w:rsidP="00FA69B6">
            <w:pPr>
              <w:rPr>
                <w:b/>
                <w:i/>
              </w:rPr>
            </w:pPr>
            <w:r w:rsidRPr="0051083A">
              <w:rPr>
                <w:b/>
                <w:i/>
              </w:rPr>
              <w:t xml:space="preserve">Clarification needed: </w:t>
            </w:r>
          </w:p>
          <w:p w:rsidR="00A70A45" w:rsidRDefault="00A70A45" w:rsidP="00FA69B6">
            <w:r w:rsidRPr="00993673">
              <w:lastRenderedPageBreak/>
              <w:t>No mention of validation/submission. Is this section replac</w:t>
            </w:r>
            <w:r w:rsidR="000B313E">
              <w:t>ing PAA or is it something else?</w:t>
            </w:r>
            <w:r w:rsidRPr="00993673">
              <w:t xml:space="preserve"> Additional information needed</w:t>
            </w:r>
          </w:p>
          <w:p w:rsidR="00A70A45" w:rsidRPr="00055CE1" w:rsidRDefault="00A70A45" w:rsidP="00FA69B6">
            <w:pPr>
              <w:rPr>
                <w:sz w:val="16"/>
                <w:szCs w:val="16"/>
              </w:rPr>
            </w:pPr>
          </w:p>
          <w:p w:rsidR="00A70A45" w:rsidRPr="0051083A" w:rsidRDefault="00A70A45" w:rsidP="0051083A">
            <w:pPr>
              <w:ind w:left="720"/>
              <w:rPr>
                <w:b/>
              </w:rPr>
            </w:pPr>
            <w:r w:rsidRPr="0051083A">
              <w:rPr>
                <w:b/>
              </w:rPr>
              <w:t xml:space="preserve">8.6.1 Need Identification: </w:t>
            </w:r>
          </w:p>
          <w:p w:rsidR="00A70A45" w:rsidRDefault="00A70A45" w:rsidP="00DD3F72">
            <w:pPr>
              <w:ind w:left="720"/>
            </w:pPr>
            <w:r>
              <w:t>Comment:</w:t>
            </w:r>
          </w:p>
          <w:p w:rsidR="00A70A45" w:rsidRDefault="00A70A45" w:rsidP="00DD3F72">
            <w:pPr>
              <w:ind w:left="720"/>
            </w:pPr>
            <w:r w:rsidRPr="00993673">
              <w:t>Link to governance reflects PAA model.</w:t>
            </w:r>
          </w:p>
          <w:p w:rsidR="00A70A45" w:rsidRPr="00055CE1" w:rsidRDefault="00A70A45" w:rsidP="00DD3F72">
            <w:pPr>
              <w:ind w:left="720"/>
              <w:rPr>
                <w:sz w:val="16"/>
                <w:szCs w:val="16"/>
              </w:rPr>
            </w:pPr>
          </w:p>
          <w:p w:rsidR="00A70A45" w:rsidRPr="0051083A" w:rsidRDefault="00A70A45" w:rsidP="00DD3F72">
            <w:pPr>
              <w:ind w:left="720"/>
              <w:rPr>
                <w:b/>
              </w:rPr>
            </w:pPr>
            <w:r w:rsidRPr="0051083A">
              <w:rPr>
                <w:b/>
              </w:rPr>
              <w:t xml:space="preserve">8.6.2 Programme Design: </w:t>
            </w:r>
          </w:p>
          <w:p w:rsidR="00A70A45" w:rsidRPr="0051083A" w:rsidRDefault="00A70A45" w:rsidP="00DD3F72">
            <w:pPr>
              <w:ind w:left="720"/>
              <w:rPr>
                <w:b/>
                <w:i/>
              </w:rPr>
            </w:pPr>
            <w:r w:rsidRPr="0051083A">
              <w:rPr>
                <w:b/>
                <w:i/>
              </w:rPr>
              <w:t>What’s new:</w:t>
            </w:r>
          </w:p>
          <w:p w:rsidR="00A70A45" w:rsidRDefault="00A70A45" w:rsidP="0051083A">
            <w:pPr>
              <w:ind w:left="720"/>
            </w:pPr>
            <w:r w:rsidRPr="00993673">
              <w:t xml:space="preserve">ETB </w:t>
            </w:r>
            <w:r>
              <w:t xml:space="preserve">now required to </w:t>
            </w:r>
            <w:r w:rsidRPr="00993673">
              <w:t>review planned programmes that have been developed as part of a national or regional initiative prior to submitting for validation – localising the programmes</w:t>
            </w:r>
          </w:p>
          <w:p w:rsidR="00A70A45" w:rsidRDefault="00A70A45" w:rsidP="00DD3F72">
            <w:pPr>
              <w:ind w:left="720"/>
            </w:pPr>
            <w:r>
              <w:t>All programmes should now include capacity</w:t>
            </w:r>
            <w:r w:rsidRPr="00993673">
              <w:t xml:space="preserve"> to succeed statements</w:t>
            </w:r>
            <w:r>
              <w:t>.</w:t>
            </w:r>
          </w:p>
          <w:p w:rsidR="00A70A45" w:rsidRDefault="00A70A45" w:rsidP="000B313E">
            <w:pPr>
              <w:ind w:left="720"/>
            </w:pPr>
            <w:r w:rsidRPr="00993673">
              <w:t>ETBs must make clear to learners the IELTS level required for participation on the programme. This has an implication for the current programme development templates</w:t>
            </w:r>
          </w:p>
          <w:p w:rsidR="00A70A45" w:rsidRPr="0051083A" w:rsidRDefault="00A70A45" w:rsidP="00DD3F72">
            <w:pPr>
              <w:ind w:left="720"/>
              <w:rPr>
                <w:b/>
                <w:i/>
              </w:rPr>
            </w:pPr>
            <w:r w:rsidRPr="0051083A">
              <w:rPr>
                <w:b/>
                <w:i/>
              </w:rPr>
              <w:t>Clarification needed:</w:t>
            </w:r>
          </w:p>
          <w:p w:rsidR="00A70A45" w:rsidRDefault="00A70A45" w:rsidP="00DD3F72">
            <w:pPr>
              <w:ind w:left="720"/>
            </w:pPr>
            <w:r>
              <w:t xml:space="preserve">Are the </w:t>
            </w:r>
            <w:r w:rsidR="000B313E">
              <w:t>‘</w:t>
            </w:r>
            <w:r>
              <w:t>capacity to succeed</w:t>
            </w:r>
            <w:r w:rsidR="000B313E">
              <w:t>’</w:t>
            </w:r>
            <w:r>
              <w:t xml:space="preserve"> statements similar to the equipped to participate statements from previous guidelines?</w:t>
            </w:r>
          </w:p>
          <w:p w:rsidR="00A70A45" w:rsidRPr="00055CE1" w:rsidRDefault="00A70A45" w:rsidP="00DD3F72">
            <w:pPr>
              <w:ind w:left="720"/>
              <w:rPr>
                <w:sz w:val="16"/>
                <w:szCs w:val="16"/>
              </w:rPr>
            </w:pPr>
          </w:p>
          <w:p w:rsidR="00A70A45" w:rsidRPr="0051083A" w:rsidRDefault="00A70A45" w:rsidP="00DD3F72">
            <w:pPr>
              <w:ind w:left="720"/>
              <w:rPr>
                <w:b/>
              </w:rPr>
            </w:pPr>
            <w:r w:rsidRPr="0051083A">
              <w:rPr>
                <w:b/>
              </w:rPr>
              <w:t>8.6.3 Provision and maintenance of learning facilities / resources:</w:t>
            </w:r>
          </w:p>
          <w:p w:rsidR="00A70A45" w:rsidRPr="00454C07" w:rsidRDefault="00A70A45" w:rsidP="00DD3F72">
            <w:pPr>
              <w:ind w:left="720"/>
              <w:rPr>
                <w:b/>
                <w:i/>
              </w:rPr>
            </w:pPr>
            <w:r w:rsidRPr="00454C07">
              <w:rPr>
                <w:b/>
                <w:i/>
              </w:rPr>
              <w:t>What’s new:</w:t>
            </w:r>
          </w:p>
          <w:p w:rsidR="00A70A45" w:rsidRPr="00993673" w:rsidRDefault="00A70A45" w:rsidP="00DD3F72">
            <w:pPr>
              <w:ind w:left="720"/>
            </w:pPr>
            <w:r>
              <w:t>Linked to</w:t>
            </w:r>
            <w:r w:rsidRPr="00993673">
              <w:t xml:space="preserve"> governance structure.</w:t>
            </w:r>
          </w:p>
          <w:p w:rsidR="00A70A45" w:rsidRPr="00055CE1" w:rsidRDefault="00A70A45" w:rsidP="00DD3F72">
            <w:pPr>
              <w:ind w:left="720"/>
              <w:rPr>
                <w:sz w:val="16"/>
                <w:szCs w:val="16"/>
              </w:rPr>
            </w:pPr>
          </w:p>
          <w:p w:rsidR="00A70A45" w:rsidRPr="0051083A" w:rsidRDefault="00A70A45" w:rsidP="00DD3F72">
            <w:pPr>
              <w:ind w:left="720"/>
              <w:rPr>
                <w:b/>
              </w:rPr>
            </w:pPr>
            <w:r w:rsidRPr="0051083A">
              <w:rPr>
                <w:b/>
              </w:rPr>
              <w:t xml:space="preserve">8.6.4 Programme Approval: </w:t>
            </w:r>
          </w:p>
          <w:p w:rsidR="00A70A45" w:rsidRPr="0051083A" w:rsidRDefault="00A70A45" w:rsidP="00DD3F72">
            <w:pPr>
              <w:ind w:left="720"/>
              <w:rPr>
                <w:b/>
                <w:i/>
              </w:rPr>
            </w:pPr>
            <w:r w:rsidRPr="0051083A">
              <w:rPr>
                <w:b/>
                <w:i/>
              </w:rPr>
              <w:t>Comment:</w:t>
            </w:r>
          </w:p>
          <w:p w:rsidR="00A70A45" w:rsidRDefault="00A70A45" w:rsidP="000B313E">
            <w:pPr>
              <w:ind w:left="720"/>
            </w:pPr>
            <w:r w:rsidRPr="00993673">
              <w:t>This appears to be replacing the PAA process of evaluation and approval.</w:t>
            </w:r>
          </w:p>
          <w:p w:rsidR="00A70A45" w:rsidRPr="00E07F09" w:rsidRDefault="00A70A45" w:rsidP="00DD3F72">
            <w:pPr>
              <w:ind w:left="720"/>
              <w:rPr>
                <w:b/>
                <w:i/>
              </w:rPr>
            </w:pPr>
            <w:r w:rsidRPr="00E07F09">
              <w:rPr>
                <w:b/>
                <w:i/>
              </w:rPr>
              <w:t>Clarification needed:</w:t>
            </w:r>
          </w:p>
          <w:p w:rsidR="00A70A45" w:rsidRDefault="00A70A45" w:rsidP="00DD3F72">
            <w:pPr>
              <w:ind w:left="720"/>
            </w:pPr>
            <w:r w:rsidRPr="00993673">
              <w:t>Do Providers now have to have a collaboration agreement an</w:t>
            </w:r>
            <w:r w:rsidR="000B313E">
              <w:t xml:space="preserve">d </w:t>
            </w:r>
            <w:proofErr w:type="spellStart"/>
            <w:r w:rsidR="000B313E">
              <w:t>MoU</w:t>
            </w:r>
            <w:proofErr w:type="spellEnd"/>
            <w:r w:rsidR="000B313E">
              <w:t xml:space="preserve"> in order to work together? D</w:t>
            </w:r>
            <w:r>
              <w:t xml:space="preserve">oes this have </w:t>
            </w:r>
            <w:r w:rsidRPr="00993673">
              <w:t xml:space="preserve">implications for the </w:t>
            </w:r>
            <w:r>
              <w:t xml:space="preserve">ETBI-led shared </w:t>
            </w:r>
            <w:r w:rsidRPr="00993673">
              <w:t>programme development process?</w:t>
            </w:r>
          </w:p>
          <w:p w:rsidR="00A70A45" w:rsidRPr="00055CE1" w:rsidRDefault="00A70A45" w:rsidP="00DD3F72">
            <w:pPr>
              <w:ind w:left="720"/>
              <w:rPr>
                <w:sz w:val="16"/>
                <w:szCs w:val="16"/>
              </w:rPr>
            </w:pPr>
          </w:p>
          <w:p w:rsidR="00A70A45" w:rsidRPr="00E07F09" w:rsidRDefault="00A70A45" w:rsidP="00DD3F72">
            <w:pPr>
              <w:ind w:left="720"/>
              <w:rPr>
                <w:b/>
              </w:rPr>
            </w:pPr>
            <w:r w:rsidRPr="00E07F09">
              <w:rPr>
                <w:b/>
              </w:rPr>
              <w:t>8.6.5 Programme Delivery:</w:t>
            </w:r>
          </w:p>
          <w:p w:rsidR="00A70A45" w:rsidRDefault="00A70A45" w:rsidP="00DD3F72">
            <w:pPr>
              <w:ind w:left="720"/>
              <w:rPr>
                <w:b/>
                <w:i/>
              </w:rPr>
            </w:pPr>
            <w:r>
              <w:rPr>
                <w:b/>
                <w:i/>
              </w:rPr>
              <w:t>What’s new</w:t>
            </w:r>
          </w:p>
          <w:p w:rsidR="00A70A45" w:rsidRPr="00E07F09" w:rsidRDefault="00A70A45" w:rsidP="00DD3F72">
            <w:pPr>
              <w:ind w:left="720"/>
            </w:pPr>
            <w:r w:rsidRPr="00E07F09">
              <w:t>This is linked to the new Teaching and Learning section</w:t>
            </w:r>
          </w:p>
          <w:p w:rsidR="00A70A45" w:rsidRPr="00E07F09" w:rsidRDefault="00A70A45" w:rsidP="00DD3F72">
            <w:pPr>
              <w:ind w:left="720"/>
              <w:rPr>
                <w:b/>
                <w:i/>
              </w:rPr>
            </w:pPr>
            <w:r w:rsidRPr="00E07F09">
              <w:rPr>
                <w:b/>
                <w:i/>
              </w:rPr>
              <w:t>Comment:</w:t>
            </w:r>
          </w:p>
          <w:p w:rsidR="00A70A45" w:rsidRDefault="00A70A45" w:rsidP="00DD3F72">
            <w:pPr>
              <w:ind w:left="720"/>
            </w:pPr>
            <w:r w:rsidRPr="00993673">
              <w:t>Would a reference to learning outcomes be useful?</w:t>
            </w:r>
          </w:p>
          <w:p w:rsidR="00A70A45" w:rsidRPr="00055CE1" w:rsidRDefault="00A70A45" w:rsidP="00DD3F72">
            <w:pPr>
              <w:ind w:left="720"/>
              <w:rPr>
                <w:sz w:val="16"/>
                <w:szCs w:val="16"/>
              </w:rPr>
            </w:pPr>
          </w:p>
          <w:p w:rsidR="00A70A45" w:rsidRPr="00E07F09" w:rsidRDefault="00A70A45" w:rsidP="00DD3F72">
            <w:pPr>
              <w:ind w:left="720"/>
              <w:rPr>
                <w:b/>
              </w:rPr>
            </w:pPr>
            <w:r w:rsidRPr="00E07F09">
              <w:rPr>
                <w:b/>
              </w:rPr>
              <w:t>8.6.6 Learner Records:</w:t>
            </w:r>
          </w:p>
          <w:p w:rsidR="00A70A45" w:rsidRPr="00E07F09" w:rsidRDefault="00A70A45" w:rsidP="00DD3F72">
            <w:pPr>
              <w:ind w:left="720"/>
              <w:rPr>
                <w:b/>
                <w:i/>
              </w:rPr>
            </w:pPr>
            <w:r w:rsidRPr="00E07F09">
              <w:rPr>
                <w:b/>
                <w:i/>
              </w:rPr>
              <w:t>Comment:</w:t>
            </w:r>
          </w:p>
          <w:p w:rsidR="00A70A45" w:rsidRPr="00993673" w:rsidRDefault="00A70A45" w:rsidP="000B313E">
            <w:pPr>
              <w:ind w:left="720"/>
            </w:pPr>
            <w:r>
              <w:t>Is this l</w:t>
            </w:r>
            <w:r w:rsidRPr="00993673">
              <w:t>inked to Information Management system</w:t>
            </w:r>
          </w:p>
          <w:p w:rsidR="00A70A45" w:rsidRPr="00E07F09" w:rsidRDefault="00A70A45" w:rsidP="00DD3F72">
            <w:pPr>
              <w:ind w:left="720"/>
              <w:rPr>
                <w:b/>
              </w:rPr>
            </w:pPr>
            <w:r w:rsidRPr="00E07F09">
              <w:rPr>
                <w:b/>
              </w:rPr>
              <w:t>8.6.7 Premises:</w:t>
            </w:r>
          </w:p>
          <w:p w:rsidR="00A70A45" w:rsidRDefault="00A70A45" w:rsidP="00DD3F72">
            <w:pPr>
              <w:ind w:left="720"/>
              <w:rPr>
                <w:b/>
                <w:i/>
              </w:rPr>
            </w:pPr>
            <w:r>
              <w:rPr>
                <w:b/>
                <w:i/>
              </w:rPr>
              <w:t>What’s new:</w:t>
            </w:r>
          </w:p>
          <w:p w:rsidR="00A70A45" w:rsidRPr="00E07F09" w:rsidRDefault="00A70A45" w:rsidP="00DD3F72">
            <w:pPr>
              <w:ind w:left="720"/>
            </w:pPr>
            <w:r>
              <w:lastRenderedPageBreak/>
              <w:t>This appears to replace the QA area on health and safety (B5.8)</w:t>
            </w:r>
          </w:p>
          <w:p w:rsidR="00A70A45" w:rsidRPr="00E07F09" w:rsidRDefault="00A70A45" w:rsidP="00DD3F72">
            <w:pPr>
              <w:ind w:left="720"/>
              <w:rPr>
                <w:b/>
                <w:i/>
              </w:rPr>
            </w:pPr>
            <w:r w:rsidRPr="00E07F09">
              <w:rPr>
                <w:b/>
                <w:i/>
              </w:rPr>
              <w:t>Comment:</w:t>
            </w:r>
          </w:p>
          <w:p w:rsidR="00A70A45" w:rsidRPr="00993673" w:rsidRDefault="00A70A45" w:rsidP="00DD3F72">
            <w:pPr>
              <w:ind w:left="720"/>
            </w:pPr>
            <w:r w:rsidRPr="00993673">
              <w:t>Should interpretation of meeting H&amp;S requirements be broadened to more than physical safety issues</w:t>
            </w:r>
            <w:r w:rsidR="000B313E">
              <w:t xml:space="preserve">? This </w:t>
            </w:r>
            <w:r w:rsidRPr="00993673">
              <w:t>quality system only involve</w:t>
            </w:r>
            <w:r w:rsidR="000B313E">
              <w:t>s</w:t>
            </w:r>
            <w:r w:rsidRPr="00993673">
              <w:t xml:space="preserve"> H&amp;S concerns around the physical environment. </w:t>
            </w:r>
          </w:p>
          <w:p w:rsidR="00A70A45" w:rsidRPr="00993673" w:rsidRDefault="00A70A45" w:rsidP="00DD3F72">
            <w:pPr>
              <w:ind w:left="720"/>
            </w:pPr>
            <w:r w:rsidRPr="00993673">
              <w:t>Should reference to premises specifically look at programmes that have H&amp;S implication</w:t>
            </w:r>
            <w:r w:rsidR="00055CE1">
              <w:t>s</w:t>
            </w:r>
            <w:r w:rsidRPr="00993673">
              <w:t xml:space="preserve"> like sports, construction, etc</w:t>
            </w:r>
            <w:r>
              <w:t>.</w:t>
            </w:r>
            <w:r w:rsidRPr="00993673">
              <w:t xml:space="preserve"> or in relation to SVRs?</w:t>
            </w:r>
          </w:p>
          <w:p w:rsidR="00A70A45" w:rsidRPr="00055CE1" w:rsidRDefault="00A70A45" w:rsidP="00DD3F72">
            <w:pPr>
              <w:ind w:left="720"/>
              <w:rPr>
                <w:sz w:val="16"/>
                <w:szCs w:val="16"/>
              </w:rPr>
            </w:pPr>
          </w:p>
          <w:p w:rsidR="00A70A45" w:rsidRPr="00E07F09" w:rsidRDefault="00A70A45" w:rsidP="00DD3F72">
            <w:pPr>
              <w:ind w:left="720"/>
              <w:rPr>
                <w:b/>
              </w:rPr>
            </w:pPr>
            <w:r w:rsidRPr="00E07F09">
              <w:rPr>
                <w:b/>
              </w:rPr>
              <w:t>8.6.8 Programme Review – Revalidation:</w:t>
            </w:r>
          </w:p>
          <w:p w:rsidR="00A70A45" w:rsidRPr="00E07F09" w:rsidRDefault="00A70A45" w:rsidP="00DD3F72">
            <w:pPr>
              <w:ind w:left="720"/>
              <w:rPr>
                <w:b/>
                <w:i/>
              </w:rPr>
            </w:pPr>
            <w:r w:rsidRPr="00E07F09">
              <w:rPr>
                <w:b/>
                <w:i/>
              </w:rPr>
              <w:t>Clarification needed:</w:t>
            </w:r>
          </w:p>
          <w:p w:rsidR="00A70A45" w:rsidRPr="00993673" w:rsidRDefault="00A70A45" w:rsidP="00DD3F72">
            <w:pPr>
              <w:ind w:left="720"/>
            </w:pPr>
            <w:r w:rsidRPr="00993673">
              <w:t>The guidelines need to be clear:</w:t>
            </w:r>
          </w:p>
          <w:p w:rsidR="00A70A45" w:rsidRPr="00E07F09" w:rsidRDefault="00A70A45" w:rsidP="009046D9">
            <w:pPr>
              <w:pStyle w:val="ListParagraph"/>
              <w:numPr>
                <w:ilvl w:val="2"/>
                <w:numId w:val="12"/>
              </w:numPr>
              <w:rPr>
                <w:rFonts w:asciiTheme="minorHAnsi" w:eastAsiaTheme="minorHAnsi" w:hAnsiTheme="minorHAnsi" w:cstheme="minorBidi"/>
                <w:szCs w:val="22"/>
                <w:lang w:val="en-GB"/>
              </w:rPr>
            </w:pPr>
            <w:r w:rsidRPr="00E07F09">
              <w:rPr>
                <w:rFonts w:asciiTheme="minorHAnsi" w:eastAsiaTheme="minorHAnsi" w:hAnsiTheme="minorHAnsi" w:cstheme="minorBidi"/>
                <w:szCs w:val="22"/>
                <w:lang w:val="en-GB"/>
              </w:rPr>
              <w:t>Programme review (on-going)</w:t>
            </w:r>
          </w:p>
          <w:p w:rsidR="00A70A45" w:rsidRPr="00055CE1" w:rsidRDefault="00A70A45" w:rsidP="00E07F09">
            <w:pPr>
              <w:pStyle w:val="ListParagraph"/>
              <w:numPr>
                <w:ilvl w:val="2"/>
                <w:numId w:val="12"/>
              </w:numPr>
              <w:rPr>
                <w:rFonts w:asciiTheme="minorHAnsi" w:eastAsiaTheme="minorHAnsi" w:hAnsiTheme="minorHAnsi" w:cstheme="minorBidi"/>
                <w:szCs w:val="22"/>
                <w:lang w:val="en-GB"/>
              </w:rPr>
            </w:pPr>
            <w:r w:rsidRPr="00E07F09">
              <w:rPr>
                <w:rFonts w:asciiTheme="minorHAnsi" w:eastAsiaTheme="minorHAnsi" w:hAnsiTheme="minorHAnsi" w:cstheme="minorBidi"/>
                <w:szCs w:val="22"/>
                <w:lang w:val="en-GB"/>
              </w:rPr>
              <w:t>Programme review</w:t>
            </w:r>
            <w:r>
              <w:rPr>
                <w:rFonts w:asciiTheme="minorHAnsi" w:eastAsiaTheme="minorHAnsi" w:hAnsiTheme="minorHAnsi" w:cstheme="minorBidi"/>
                <w:szCs w:val="22"/>
                <w:lang w:val="en-GB"/>
              </w:rPr>
              <w:t>/self-evaluation</w:t>
            </w:r>
            <w:r w:rsidRPr="00E07F09">
              <w:rPr>
                <w:rFonts w:asciiTheme="minorHAnsi" w:eastAsiaTheme="minorHAnsi" w:hAnsiTheme="minorHAnsi" w:cstheme="minorBidi"/>
                <w:szCs w:val="22"/>
                <w:lang w:val="en-GB"/>
              </w:rPr>
              <w:t xml:space="preserve"> for re-validation</w:t>
            </w:r>
            <w:r>
              <w:rPr>
                <w:rFonts w:asciiTheme="minorHAnsi" w:eastAsiaTheme="minorHAnsi" w:hAnsiTheme="minorHAnsi" w:cstheme="minorBidi"/>
                <w:szCs w:val="22"/>
                <w:lang w:val="en-GB"/>
              </w:rPr>
              <w:t>?</w:t>
            </w:r>
          </w:p>
        </w:tc>
      </w:tr>
      <w:tr w:rsidR="00A70A45" w:rsidRPr="00627CA9" w:rsidTr="00C50852">
        <w:tc>
          <w:tcPr>
            <w:tcW w:w="1844" w:type="dxa"/>
            <w:vMerge/>
          </w:tcPr>
          <w:p w:rsidR="00A70A45" w:rsidRPr="00B55515" w:rsidRDefault="00A70A45" w:rsidP="00BF49CD">
            <w:pPr>
              <w:rPr>
                <w:b/>
              </w:rPr>
            </w:pPr>
          </w:p>
        </w:tc>
        <w:tc>
          <w:tcPr>
            <w:tcW w:w="13182" w:type="dxa"/>
          </w:tcPr>
          <w:p w:rsidR="00A70A45" w:rsidRPr="00E07F09" w:rsidRDefault="00A70A45" w:rsidP="00216A0A">
            <w:pPr>
              <w:rPr>
                <w:b/>
              </w:rPr>
            </w:pPr>
            <w:r w:rsidRPr="00E07F09">
              <w:rPr>
                <w:b/>
              </w:rPr>
              <w:t xml:space="preserve">8.7 Fair and Consistent Assessment of Learners </w:t>
            </w:r>
          </w:p>
          <w:p w:rsidR="00A70A45" w:rsidRPr="00E07F09" w:rsidRDefault="00A70A45" w:rsidP="00216A0A">
            <w:pPr>
              <w:rPr>
                <w:b/>
                <w:i/>
              </w:rPr>
            </w:pPr>
            <w:r w:rsidRPr="00E07F09">
              <w:rPr>
                <w:b/>
                <w:i/>
              </w:rPr>
              <w:t>What’s new:</w:t>
            </w:r>
          </w:p>
          <w:p w:rsidR="00A70A45" w:rsidRDefault="00A70A45" w:rsidP="00216A0A">
            <w:r>
              <w:t xml:space="preserve">Explicit requirement for “trained assessors” – </w:t>
            </w:r>
            <w:r w:rsidR="00E37DCB">
              <w:t xml:space="preserve">previously, </w:t>
            </w:r>
            <w:r>
              <w:t>reference on page 7/8 of QAA guidelines to assessors being qualified practitioners and having the appropriate assessment skills.</w:t>
            </w:r>
          </w:p>
          <w:p w:rsidR="00A70A45" w:rsidRDefault="00A70A45" w:rsidP="00216A0A">
            <w:r>
              <w:t>Judgement required in relation to IV, as it requires it to be fair and consistent – does this implies a judgement on the assessment evidence?</w:t>
            </w:r>
          </w:p>
          <w:p w:rsidR="00A70A45" w:rsidRPr="00E07F09" w:rsidRDefault="00A70A45" w:rsidP="00216A0A">
            <w:pPr>
              <w:rPr>
                <w:b/>
                <w:i/>
              </w:rPr>
            </w:pPr>
            <w:r w:rsidRPr="00E07F09">
              <w:rPr>
                <w:b/>
                <w:i/>
              </w:rPr>
              <w:t>Comment:</w:t>
            </w:r>
          </w:p>
          <w:p w:rsidR="00A70A45" w:rsidRDefault="00A70A45" w:rsidP="00216A0A">
            <w:r>
              <w:t>The areas listed to be quality assured on the table on page 10 are not consistent with the areas listed on pages 17/18 of the new QA draft guidelines.</w:t>
            </w:r>
          </w:p>
          <w:p w:rsidR="00A70A45" w:rsidRDefault="00A70A45" w:rsidP="0063223A">
            <w:r>
              <w:t>Providers must develop their QA policies and procedures in line with the QQI QAA guidelines (revised 2013) and adhere to requirements</w:t>
            </w:r>
          </w:p>
          <w:p w:rsidR="00A70A45" w:rsidRPr="00055CE1" w:rsidRDefault="00A70A45" w:rsidP="00216A0A">
            <w:pPr>
              <w:rPr>
                <w:sz w:val="16"/>
                <w:szCs w:val="16"/>
              </w:rPr>
            </w:pPr>
          </w:p>
          <w:p w:rsidR="00A70A45" w:rsidRPr="00E07F09" w:rsidRDefault="00A70A45" w:rsidP="005B6E17">
            <w:pPr>
              <w:ind w:left="720"/>
              <w:rPr>
                <w:b/>
              </w:rPr>
            </w:pPr>
            <w:r w:rsidRPr="00E07F09">
              <w:rPr>
                <w:b/>
              </w:rPr>
              <w:t>8.7.1 Information to Learners:</w:t>
            </w:r>
          </w:p>
          <w:p w:rsidR="00A70A45" w:rsidRPr="005B6E17" w:rsidRDefault="00A70A45" w:rsidP="005B6E17">
            <w:pPr>
              <w:pStyle w:val="Default"/>
              <w:ind w:left="720"/>
              <w:rPr>
                <w:rFonts w:asciiTheme="minorHAnsi" w:hAnsiTheme="minorHAnsi" w:cstheme="minorBidi"/>
                <w:color w:val="auto"/>
                <w:sz w:val="22"/>
                <w:szCs w:val="22"/>
                <w:lang w:val="en-GB"/>
              </w:rPr>
            </w:pPr>
            <w:r w:rsidRPr="0063223A">
              <w:rPr>
                <w:rFonts w:asciiTheme="minorHAnsi" w:hAnsiTheme="minorHAnsi" w:cstheme="minorBidi"/>
                <w:color w:val="auto"/>
                <w:sz w:val="22"/>
                <w:szCs w:val="22"/>
                <w:lang w:val="en-GB"/>
              </w:rPr>
              <w:t>Appears to be nothing new here</w:t>
            </w:r>
          </w:p>
          <w:p w:rsidR="00A70A45" w:rsidRPr="00055CE1" w:rsidRDefault="00A70A45" w:rsidP="005B6E17">
            <w:pPr>
              <w:ind w:left="720"/>
              <w:rPr>
                <w:b/>
                <w:sz w:val="16"/>
                <w:szCs w:val="16"/>
              </w:rPr>
            </w:pPr>
          </w:p>
          <w:p w:rsidR="00A70A45" w:rsidRPr="00E07F09" w:rsidRDefault="00A70A45" w:rsidP="005B6E17">
            <w:pPr>
              <w:ind w:left="720"/>
              <w:rPr>
                <w:b/>
              </w:rPr>
            </w:pPr>
            <w:r w:rsidRPr="00E07F09">
              <w:rPr>
                <w:b/>
              </w:rPr>
              <w:t>8.7.2 Coordinated Planning of Assessment:</w:t>
            </w:r>
          </w:p>
          <w:p w:rsidR="00A70A45" w:rsidRDefault="00A70A45" w:rsidP="005B6E17">
            <w:pPr>
              <w:ind w:left="720"/>
            </w:pPr>
            <w:r>
              <w:t>Appears to be nothing new here</w:t>
            </w:r>
          </w:p>
          <w:p w:rsidR="00A70A45" w:rsidRPr="00055CE1" w:rsidRDefault="00A70A45" w:rsidP="00055CE1">
            <w:pPr>
              <w:rPr>
                <w:sz w:val="16"/>
                <w:szCs w:val="16"/>
              </w:rPr>
            </w:pPr>
          </w:p>
          <w:p w:rsidR="00A70A45" w:rsidRPr="0063223A" w:rsidRDefault="00A70A45" w:rsidP="005B6E17">
            <w:pPr>
              <w:ind w:left="720"/>
              <w:rPr>
                <w:b/>
              </w:rPr>
            </w:pPr>
            <w:r w:rsidRPr="0063223A">
              <w:rPr>
                <w:b/>
              </w:rPr>
              <w:t>8.7.3 Security of assessment related processes and material:</w:t>
            </w:r>
          </w:p>
          <w:p w:rsidR="00A70A45" w:rsidRPr="0063223A" w:rsidRDefault="00A70A45" w:rsidP="005B6E17">
            <w:pPr>
              <w:ind w:left="720"/>
              <w:rPr>
                <w:b/>
                <w:i/>
              </w:rPr>
            </w:pPr>
            <w:r w:rsidRPr="0063223A">
              <w:rPr>
                <w:b/>
                <w:i/>
              </w:rPr>
              <w:t>Clarification needed:</w:t>
            </w:r>
          </w:p>
          <w:p w:rsidR="00A70A45" w:rsidRDefault="00A70A45" w:rsidP="005B6E17">
            <w:pPr>
              <w:ind w:left="720"/>
            </w:pPr>
            <w:r>
              <w:t>Only learners’ assessment records are list</w:t>
            </w:r>
            <w:r w:rsidR="00E37DCB">
              <w:t>ed in the draft QA guidelines. S</w:t>
            </w:r>
            <w:r>
              <w:t>hould this refer to learner evidence and assessment materials also?</w:t>
            </w:r>
          </w:p>
          <w:p w:rsidR="00A70A45" w:rsidRPr="00055CE1" w:rsidRDefault="00A70A45" w:rsidP="005B6E17">
            <w:pPr>
              <w:ind w:left="720"/>
              <w:rPr>
                <w:sz w:val="16"/>
                <w:szCs w:val="16"/>
              </w:rPr>
            </w:pPr>
          </w:p>
          <w:p w:rsidR="00A70A45" w:rsidRPr="0063223A" w:rsidRDefault="00A70A45" w:rsidP="005B6E17">
            <w:pPr>
              <w:ind w:left="720"/>
              <w:rPr>
                <w:b/>
              </w:rPr>
            </w:pPr>
            <w:r w:rsidRPr="0063223A">
              <w:rPr>
                <w:b/>
              </w:rPr>
              <w:t>8.7.4 Reasonable Accommodation:</w:t>
            </w:r>
          </w:p>
          <w:p w:rsidR="00A70A45" w:rsidRPr="0063223A" w:rsidRDefault="00A70A45" w:rsidP="005B6E17">
            <w:pPr>
              <w:ind w:left="720"/>
              <w:rPr>
                <w:b/>
                <w:i/>
              </w:rPr>
            </w:pPr>
            <w:r w:rsidRPr="0063223A">
              <w:rPr>
                <w:b/>
                <w:i/>
              </w:rPr>
              <w:t>What’s new:</w:t>
            </w:r>
          </w:p>
          <w:p w:rsidR="00A70A45" w:rsidRDefault="00A70A45" w:rsidP="005B6E17">
            <w:pPr>
              <w:ind w:left="720"/>
            </w:pPr>
            <w:r>
              <w:t xml:space="preserve">It appears that reasonable accommodation will now apply to people whose first language is not English. </w:t>
            </w:r>
          </w:p>
          <w:p w:rsidR="00A70A45" w:rsidRPr="00055CE1" w:rsidRDefault="00A70A45" w:rsidP="005B6E17">
            <w:pPr>
              <w:ind w:left="720"/>
              <w:rPr>
                <w:sz w:val="16"/>
                <w:szCs w:val="16"/>
              </w:rPr>
            </w:pPr>
          </w:p>
          <w:p w:rsidR="00A70A45" w:rsidRPr="0063223A" w:rsidRDefault="00A70A45" w:rsidP="005B6E17">
            <w:pPr>
              <w:ind w:left="720"/>
              <w:rPr>
                <w:b/>
              </w:rPr>
            </w:pPr>
            <w:r w:rsidRPr="0063223A">
              <w:rPr>
                <w:b/>
              </w:rPr>
              <w:t>8.7.5 Consistency of marking between assessors:</w:t>
            </w:r>
          </w:p>
          <w:p w:rsidR="00A70A45" w:rsidRPr="0063223A" w:rsidRDefault="00A70A45" w:rsidP="005B6E17">
            <w:pPr>
              <w:ind w:left="720"/>
              <w:rPr>
                <w:b/>
                <w:i/>
              </w:rPr>
            </w:pPr>
            <w:r w:rsidRPr="0063223A">
              <w:rPr>
                <w:b/>
                <w:i/>
              </w:rPr>
              <w:lastRenderedPageBreak/>
              <w:t>Comment:</w:t>
            </w:r>
          </w:p>
          <w:p w:rsidR="00A70A45" w:rsidRDefault="00A70A45" w:rsidP="005B6E17">
            <w:pPr>
              <w:ind w:left="720"/>
            </w:pPr>
            <w:r>
              <w:t>Consistency of marking between assessors is not listed on page 10 of the QA draft guidelines</w:t>
            </w:r>
          </w:p>
          <w:p w:rsidR="00A70A45" w:rsidRDefault="00A70A45" w:rsidP="005B6E17">
            <w:pPr>
              <w:ind w:left="720"/>
            </w:pPr>
            <w:r>
              <w:t>Further guidance in this area would be useful, considering that reference is made to the QAA guidelines and there appears to be no guidance in that document on how this policy area will be implemented.</w:t>
            </w:r>
          </w:p>
          <w:p w:rsidR="00A70A45" w:rsidRPr="00055CE1" w:rsidRDefault="00A70A45" w:rsidP="005B6E17">
            <w:pPr>
              <w:ind w:left="720"/>
              <w:rPr>
                <w:sz w:val="16"/>
                <w:szCs w:val="16"/>
              </w:rPr>
            </w:pPr>
          </w:p>
          <w:p w:rsidR="00A70A45" w:rsidRPr="0063223A" w:rsidRDefault="00A70A45" w:rsidP="005B6E17">
            <w:pPr>
              <w:ind w:left="720"/>
              <w:rPr>
                <w:b/>
              </w:rPr>
            </w:pPr>
            <w:r w:rsidRPr="0063223A">
              <w:rPr>
                <w:b/>
              </w:rPr>
              <w:t>8.7.6 Workplace Assessment:</w:t>
            </w:r>
          </w:p>
          <w:p w:rsidR="00A70A45" w:rsidRPr="0063223A" w:rsidRDefault="00A70A45" w:rsidP="005B6E17">
            <w:pPr>
              <w:ind w:left="720"/>
              <w:rPr>
                <w:b/>
                <w:i/>
              </w:rPr>
            </w:pPr>
            <w:r w:rsidRPr="0063223A">
              <w:rPr>
                <w:b/>
                <w:i/>
              </w:rPr>
              <w:t>What’s new:</w:t>
            </w:r>
          </w:p>
          <w:p w:rsidR="00A70A45" w:rsidRDefault="00A70A45" w:rsidP="005B6E17">
            <w:pPr>
              <w:ind w:left="720"/>
            </w:pPr>
            <w:r>
              <w:t>This is a new area, previously this may have been covered under assessment performed by third parties. This will probably apply to work experience supervisors reports amongst others. Such assessors must be briefed/trained in order to conduct the assessment.</w:t>
            </w:r>
          </w:p>
          <w:p w:rsidR="00A70A45" w:rsidRDefault="00A70A45" w:rsidP="005B6E17">
            <w:pPr>
              <w:ind w:left="720"/>
            </w:pPr>
            <w:r>
              <w:t xml:space="preserve">There appears to be no reference to assessment performed by other third party assessors, for example, sporting bodies, </w:t>
            </w:r>
            <w:proofErr w:type="gramStart"/>
            <w:r>
              <w:t>first</w:t>
            </w:r>
            <w:proofErr w:type="gramEnd"/>
            <w:r>
              <w:t xml:space="preserve"> aid.</w:t>
            </w:r>
          </w:p>
          <w:p w:rsidR="00A70A45" w:rsidRPr="0063223A" w:rsidRDefault="00A70A45" w:rsidP="005B6E17">
            <w:pPr>
              <w:ind w:left="720"/>
              <w:rPr>
                <w:b/>
                <w:i/>
              </w:rPr>
            </w:pPr>
            <w:r w:rsidRPr="0063223A">
              <w:rPr>
                <w:b/>
                <w:i/>
              </w:rPr>
              <w:t>Comment:</w:t>
            </w:r>
          </w:p>
          <w:p w:rsidR="00A70A45" w:rsidRDefault="00A70A45" w:rsidP="005B6E17">
            <w:pPr>
              <w:ind w:left="720"/>
            </w:pPr>
            <w:r>
              <w:t>Work place assessment is not listed on page 10</w:t>
            </w:r>
          </w:p>
          <w:p w:rsidR="00A70A45" w:rsidRPr="00055CE1" w:rsidRDefault="00A70A45" w:rsidP="005B6E17">
            <w:pPr>
              <w:ind w:left="720"/>
              <w:rPr>
                <w:sz w:val="16"/>
                <w:szCs w:val="16"/>
              </w:rPr>
            </w:pPr>
          </w:p>
          <w:p w:rsidR="00A70A45" w:rsidRPr="0063223A" w:rsidRDefault="00A70A45" w:rsidP="005B6E17">
            <w:pPr>
              <w:ind w:left="720"/>
              <w:rPr>
                <w:b/>
              </w:rPr>
            </w:pPr>
            <w:r w:rsidRPr="0063223A">
              <w:rPr>
                <w:b/>
              </w:rPr>
              <w:t xml:space="preserve">8.7.7 Assessment of Distance / e-learning based programmes: </w:t>
            </w:r>
          </w:p>
          <w:p w:rsidR="00A70A45" w:rsidRPr="0063223A" w:rsidRDefault="00E37DCB" w:rsidP="005B6E17">
            <w:pPr>
              <w:ind w:left="720"/>
              <w:rPr>
                <w:b/>
                <w:i/>
              </w:rPr>
            </w:pPr>
            <w:r>
              <w:rPr>
                <w:b/>
                <w:i/>
              </w:rPr>
              <w:t>What’s new/</w:t>
            </w:r>
            <w:r w:rsidR="00A70A45" w:rsidRPr="0063223A">
              <w:rPr>
                <w:b/>
                <w:i/>
              </w:rPr>
              <w:t>Comment:</w:t>
            </w:r>
          </w:p>
          <w:p w:rsidR="00A70A45" w:rsidRDefault="00A70A45" w:rsidP="005B6E17">
            <w:pPr>
              <w:ind w:left="720"/>
            </w:pPr>
            <w:r>
              <w:t xml:space="preserve">This did not appear in the previous QA guidelines for </w:t>
            </w:r>
            <w:proofErr w:type="gramStart"/>
            <w:r>
              <w:t>providers</w:t>
            </w:r>
            <w:proofErr w:type="gramEnd"/>
            <w:r>
              <w:t xml:space="preserve"> version 1.3 but is included in the QAA guidelines for providers.</w:t>
            </w:r>
          </w:p>
          <w:p w:rsidR="00A70A45" w:rsidRDefault="00A70A45" w:rsidP="005B6E17">
            <w:pPr>
              <w:ind w:left="720"/>
            </w:pPr>
            <w:r>
              <w:t>The challenge in this may be around ensuing reliability and validity of assessment.</w:t>
            </w:r>
          </w:p>
          <w:p w:rsidR="00A70A45" w:rsidRPr="00055CE1" w:rsidRDefault="00A70A45" w:rsidP="00055CE1">
            <w:pPr>
              <w:rPr>
                <w:sz w:val="16"/>
                <w:szCs w:val="16"/>
              </w:rPr>
            </w:pPr>
          </w:p>
          <w:p w:rsidR="00A70A45" w:rsidRPr="0063223A" w:rsidRDefault="00A70A45" w:rsidP="005B6E17">
            <w:pPr>
              <w:ind w:left="720"/>
              <w:rPr>
                <w:b/>
              </w:rPr>
            </w:pPr>
            <w:r w:rsidRPr="0063223A">
              <w:rPr>
                <w:b/>
              </w:rPr>
              <w:t>8.7.8 Internal Verification:</w:t>
            </w:r>
          </w:p>
          <w:p w:rsidR="00A70A45" w:rsidRPr="0063223A" w:rsidRDefault="00A70A45" w:rsidP="005B6E17">
            <w:pPr>
              <w:ind w:left="720"/>
              <w:rPr>
                <w:b/>
                <w:i/>
              </w:rPr>
            </w:pPr>
            <w:r w:rsidRPr="0063223A">
              <w:rPr>
                <w:b/>
                <w:i/>
              </w:rPr>
              <w:t>What’s new:</w:t>
            </w:r>
          </w:p>
          <w:p w:rsidR="00A70A45" w:rsidRDefault="00A70A45" w:rsidP="005B6E17">
            <w:pPr>
              <w:ind w:left="720"/>
            </w:pPr>
            <w:r>
              <w:t>Internal Verification appears to have changed and appears to have a broader remit.</w:t>
            </w:r>
          </w:p>
          <w:p w:rsidR="00A70A45" w:rsidRPr="005B6E17" w:rsidRDefault="00A70A45" w:rsidP="00454C07">
            <w:pPr>
              <w:ind w:left="754" w:right="-335"/>
            </w:pPr>
            <w:r w:rsidRPr="005B6E17">
              <w:t>Ensuring consistency and validity of assessment is now part of this process</w:t>
            </w:r>
          </w:p>
          <w:p w:rsidR="00A70A45" w:rsidRPr="0063223A" w:rsidRDefault="00A70A45" w:rsidP="005B6E17">
            <w:pPr>
              <w:ind w:left="720"/>
              <w:rPr>
                <w:b/>
                <w:i/>
              </w:rPr>
            </w:pPr>
            <w:r w:rsidRPr="0063223A">
              <w:rPr>
                <w:b/>
                <w:i/>
              </w:rPr>
              <w:t>Clarification needed:</w:t>
            </w:r>
          </w:p>
          <w:p w:rsidR="00A70A45" w:rsidRDefault="00A70A45" w:rsidP="005B6E17">
            <w:pPr>
              <w:ind w:left="720"/>
            </w:pPr>
            <w:r>
              <w:t>Does the use of the word “inappropriate” mean that a judgement call will have to be made around the standard of evidence?</w:t>
            </w:r>
          </w:p>
          <w:p w:rsidR="00A70A45" w:rsidRDefault="00A70A45" w:rsidP="005B6E17">
            <w:pPr>
              <w:ind w:left="720"/>
            </w:pPr>
            <w:r>
              <w:t>What does checking “grading inconsistency between assessors” mean? This appears to be completely new</w:t>
            </w:r>
          </w:p>
          <w:p w:rsidR="00A70A45" w:rsidRPr="005B6E17" w:rsidRDefault="00A70A45" w:rsidP="0063223A">
            <w:pPr>
              <w:ind w:left="754" w:right="-335"/>
            </w:pPr>
            <w:r>
              <w:t>Clarification needed on “</w:t>
            </w:r>
            <w:r w:rsidRPr="005B6E17">
              <w:t>provisional outcomes for learners – review of reports at individual and group level”</w:t>
            </w:r>
          </w:p>
          <w:p w:rsidR="00A70A45" w:rsidRDefault="00A70A45" w:rsidP="005B6E17">
            <w:pPr>
              <w:ind w:left="720"/>
            </w:pPr>
            <w:r>
              <w:t>What is involved in the learner id conflict?</w:t>
            </w:r>
          </w:p>
          <w:p w:rsidR="00A70A45" w:rsidRPr="00055CE1" w:rsidRDefault="00A70A45" w:rsidP="005B6E17">
            <w:pPr>
              <w:ind w:left="720"/>
              <w:rPr>
                <w:sz w:val="16"/>
                <w:szCs w:val="16"/>
              </w:rPr>
            </w:pPr>
          </w:p>
          <w:p w:rsidR="00A70A45" w:rsidRPr="0063223A" w:rsidRDefault="00A70A45" w:rsidP="005B6E17">
            <w:pPr>
              <w:ind w:left="720"/>
              <w:rPr>
                <w:b/>
              </w:rPr>
            </w:pPr>
            <w:r w:rsidRPr="0063223A">
              <w:rPr>
                <w:b/>
              </w:rPr>
              <w:t>8.7.9 External Authentication:</w:t>
            </w:r>
          </w:p>
          <w:p w:rsidR="00A70A45" w:rsidRDefault="00A70A45" w:rsidP="0063223A">
            <w:pPr>
              <w:ind w:left="720"/>
            </w:pPr>
            <w:r>
              <w:t>Appears to be nothing new here</w:t>
            </w:r>
          </w:p>
          <w:p w:rsidR="00A70A45" w:rsidRPr="00055CE1" w:rsidRDefault="00A70A45" w:rsidP="005B6E17">
            <w:pPr>
              <w:ind w:left="720"/>
              <w:rPr>
                <w:sz w:val="16"/>
                <w:szCs w:val="16"/>
              </w:rPr>
            </w:pPr>
          </w:p>
          <w:p w:rsidR="00A70A45" w:rsidRPr="0063223A" w:rsidRDefault="00A70A45" w:rsidP="005B6E17">
            <w:pPr>
              <w:ind w:left="720"/>
              <w:rPr>
                <w:b/>
              </w:rPr>
            </w:pPr>
            <w:r w:rsidRPr="0063223A">
              <w:rPr>
                <w:b/>
              </w:rPr>
              <w:t>8.7.10 Results Approval:</w:t>
            </w:r>
          </w:p>
          <w:p w:rsidR="00A70A45" w:rsidRPr="0063223A" w:rsidRDefault="00A70A45" w:rsidP="005B6E17">
            <w:pPr>
              <w:ind w:left="720"/>
              <w:rPr>
                <w:b/>
                <w:i/>
              </w:rPr>
            </w:pPr>
            <w:r w:rsidRPr="0063223A">
              <w:rPr>
                <w:b/>
                <w:i/>
              </w:rPr>
              <w:t>What’s new:</w:t>
            </w:r>
          </w:p>
          <w:p w:rsidR="00A70A45" w:rsidRDefault="00A70A45" w:rsidP="005B6E17">
            <w:pPr>
              <w:ind w:left="720"/>
            </w:pPr>
            <w:r>
              <w:t>This is linked to governance structures.</w:t>
            </w:r>
          </w:p>
          <w:p w:rsidR="00A70A45" w:rsidRDefault="00A70A45" w:rsidP="005B6E17">
            <w:pPr>
              <w:ind w:left="720"/>
            </w:pPr>
            <w:r>
              <w:t>Results Approval appears now to have two layers, results approval at centre level and then at ETB governance structure level. The governance structure level should ensure consistency across centres and between programmes.</w:t>
            </w:r>
          </w:p>
          <w:p w:rsidR="00A70A45" w:rsidRPr="005B6E17" w:rsidRDefault="00A70A45" w:rsidP="005B6E17">
            <w:pPr>
              <w:ind w:left="720"/>
            </w:pPr>
            <w:r w:rsidRPr="005B6E17">
              <w:t>Input from programme staff appears to be new</w:t>
            </w:r>
          </w:p>
          <w:p w:rsidR="00A70A45" w:rsidRDefault="00A70A45" w:rsidP="005B6E17">
            <w:pPr>
              <w:ind w:left="720"/>
            </w:pPr>
            <w:r w:rsidRPr="005B6E17">
              <w:lastRenderedPageBreak/>
              <w:t>Comparative grade analysis appears to be new</w:t>
            </w:r>
          </w:p>
          <w:p w:rsidR="00A70A45" w:rsidRPr="00055CE1" w:rsidRDefault="00A70A45" w:rsidP="005B6E17">
            <w:pPr>
              <w:ind w:left="720"/>
              <w:rPr>
                <w:sz w:val="16"/>
                <w:szCs w:val="16"/>
              </w:rPr>
            </w:pPr>
          </w:p>
          <w:p w:rsidR="00A70A45" w:rsidRPr="0063223A" w:rsidRDefault="00A70A45" w:rsidP="005B6E17">
            <w:pPr>
              <w:ind w:left="720"/>
              <w:rPr>
                <w:b/>
              </w:rPr>
            </w:pPr>
            <w:r w:rsidRPr="0063223A">
              <w:rPr>
                <w:b/>
              </w:rPr>
              <w:t>8.7.11 Feedback to Learners:</w:t>
            </w:r>
          </w:p>
          <w:p w:rsidR="00A70A45" w:rsidRDefault="00A70A45" w:rsidP="00BF49CD">
            <w:pPr>
              <w:ind w:left="720"/>
            </w:pPr>
            <w:r>
              <w:t>Appears to be nothing new here</w:t>
            </w:r>
          </w:p>
          <w:p w:rsidR="00A70A45" w:rsidRPr="00055CE1" w:rsidRDefault="00A70A45" w:rsidP="005B6E17">
            <w:pPr>
              <w:pStyle w:val="Default"/>
              <w:ind w:left="720"/>
              <w:rPr>
                <w:rFonts w:asciiTheme="minorHAnsi" w:hAnsiTheme="minorHAnsi" w:cstheme="minorBidi"/>
                <w:color w:val="auto"/>
                <w:sz w:val="16"/>
                <w:szCs w:val="16"/>
                <w:lang w:val="en-GB"/>
              </w:rPr>
            </w:pPr>
          </w:p>
          <w:p w:rsidR="00A70A45" w:rsidRPr="005B6E17" w:rsidRDefault="00A70A45" w:rsidP="005B6E17">
            <w:pPr>
              <w:ind w:left="720"/>
              <w:rPr>
                <w:b/>
              </w:rPr>
            </w:pPr>
            <w:r w:rsidRPr="005B6E17">
              <w:rPr>
                <w:b/>
              </w:rPr>
              <w:t>8.7.12 Learner Appeals:</w:t>
            </w:r>
          </w:p>
          <w:p w:rsidR="00A70A45" w:rsidRPr="00BF49CD" w:rsidRDefault="00A70A45" w:rsidP="00BF49CD">
            <w:pPr>
              <w:ind w:left="720"/>
              <w:rPr>
                <w:b/>
                <w:i/>
              </w:rPr>
            </w:pPr>
            <w:r w:rsidRPr="00BF49CD">
              <w:rPr>
                <w:b/>
                <w:i/>
              </w:rPr>
              <w:t>What’s new:</w:t>
            </w:r>
          </w:p>
          <w:p w:rsidR="00A70A45" w:rsidRDefault="00A70A45" w:rsidP="00BF49CD">
            <w:pPr>
              <w:ind w:left="720"/>
            </w:pPr>
            <w:r w:rsidRPr="005B6E17">
              <w:t>The requirement to communicate the information about the appeals procedure as part of the programme information may be new as this information was primarily given to learners at the point when their results were issued to the learners</w:t>
            </w:r>
          </w:p>
          <w:p w:rsidR="00A70A45" w:rsidRPr="00BF49CD" w:rsidRDefault="00A70A45" w:rsidP="00BF49CD">
            <w:pPr>
              <w:ind w:left="720"/>
              <w:rPr>
                <w:b/>
                <w:i/>
              </w:rPr>
            </w:pPr>
            <w:r w:rsidRPr="00BF49CD">
              <w:rPr>
                <w:b/>
                <w:i/>
              </w:rPr>
              <w:t xml:space="preserve">Clarification needed: </w:t>
            </w:r>
          </w:p>
          <w:p w:rsidR="00A70A45" w:rsidRPr="005B6E17" w:rsidRDefault="00A70A45" w:rsidP="00E37DCB">
            <w:pPr>
              <w:ind w:left="720"/>
            </w:pPr>
            <w:r>
              <w:t>on difference between “</w:t>
            </w:r>
            <w:r w:rsidRPr="00BF49CD">
              <w:rPr>
                <w:i/>
              </w:rPr>
              <w:t>appeals and requests for re-marking</w:t>
            </w:r>
            <w:r w:rsidRPr="00F907C3">
              <w:t>”</w:t>
            </w:r>
          </w:p>
        </w:tc>
      </w:tr>
      <w:tr w:rsidR="00A70A45" w:rsidRPr="00627CA9" w:rsidTr="00C50852">
        <w:tc>
          <w:tcPr>
            <w:tcW w:w="1844" w:type="dxa"/>
            <w:vMerge/>
          </w:tcPr>
          <w:p w:rsidR="00A70A45" w:rsidRPr="00B55515" w:rsidRDefault="00A70A45" w:rsidP="00BF49CD">
            <w:pPr>
              <w:rPr>
                <w:b/>
              </w:rPr>
            </w:pPr>
          </w:p>
        </w:tc>
        <w:tc>
          <w:tcPr>
            <w:tcW w:w="13182" w:type="dxa"/>
          </w:tcPr>
          <w:p w:rsidR="00A70A45" w:rsidRPr="005B6E17" w:rsidRDefault="00A70A45" w:rsidP="00BF49CD">
            <w:pPr>
              <w:rPr>
                <w:b/>
              </w:rPr>
            </w:pPr>
            <w:r w:rsidRPr="005B6E17">
              <w:rPr>
                <w:b/>
              </w:rPr>
              <w:t xml:space="preserve">8.8 Protection of Enrolled Learners </w:t>
            </w:r>
          </w:p>
          <w:p w:rsidR="00A70A45" w:rsidRPr="00BF49CD" w:rsidRDefault="00A70A45" w:rsidP="00BF49CD">
            <w:pPr>
              <w:rPr>
                <w:b/>
                <w:i/>
              </w:rPr>
            </w:pPr>
            <w:r w:rsidRPr="00BF49CD">
              <w:rPr>
                <w:b/>
                <w:i/>
              </w:rPr>
              <w:t>What’s new:</w:t>
            </w:r>
          </w:p>
          <w:p w:rsidR="00A70A45" w:rsidRDefault="00A70A45" w:rsidP="00BF49CD">
            <w:r>
              <w:t>This is new for publicly funded providers including ETBs</w:t>
            </w:r>
          </w:p>
          <w:p w:rsidR="00A70A45" w:rsidRDefault="00E37DCB" w:rsidP="00BF49CD">
            <w:r>
              <w:t>ETBs will have to provide</w:t>
            </w:r>
            <w:r w:rsidR="00A70A45">
              <w:t xml:space="preserve"> learners </w:t>
            </w:r>
            <w:r>
              <w:t xml:space="preserve">with </w:t>
            </w:r>
            <w:r w:rsidR="00A70A45">
              <w:t>the ETB arrangements around PEL, whatever that information is.</w:t>
            </w:r>
          </w:p>
          <w:p w:rsidR="00A70A45" w:rsidRPr="00BF49CD" w:rsidRDefault="00A70A45" w:rsidP="00BF49CD">
            <w:pPr>
              <w:rPr>
                <w:b/>
                <w:i/>
              </w:rPr>
            </w:pPr>
            <w:r w:rsidRPr="00BF49CD">
              <w:rPr>
                <w:b/>
                <w:i/>
              </w:rPr>
              <w:t>Comment:</w:t>
            </w:r>
          </w:p>
          <w:p w:rsidR="00A70A45" w:rsidRPr="00627CA9" w:rsidRDefault="00A70A45" w:rsidP="00BF49CD">
            <w:r>
              <w:t>There are implications for ETBs with self-financing provision</w:t>
            </w:r>
          </w:p>
        </w:tc>
      </w:tr>
      <w:tr w:rsidR="00A70A45" w:rsidRPr="00627CA9" w:rsidTr="00C50852">
        <w:trPr>
          <w:trHeight w:val="985"/>
        </w:trPr>
        <w:tc>
          <w:tcPr>
            <w:tcW w:w="1844" w:type="dxa"/>
            <w:vMerge/>
          </w:tcPr>
          <w:p w:rsidR="00A70A45" w:rsidRPr="00B55515" w:rsidRDefault="00A70A45" w:rsidP="00BF49CD">
            <w:pPr>
              <w:rPr>
                <w:b/>
              </w:rPr>
            </w:pPr>
          </w:p>
        </w:tc>
        <w:tc>
          <w:tcPr>
            <w:tcW w:w="13182" w:type="dxa"/>
          </w:tcPr>
          <w:p w:rsidR="00A70A45" w:rsidRPr="00BF49CD" w:rsidRDefault="00A70A45" w:rsidP="00BF49CD">
            <w:pPr>
              <w:rPr>
                <w:b/>
              </w:rPr>
            </w:pPr>
            <w:r w:rsidRPr="00BF49CD">
              <w:rPr>
                <w:b/>
              </w:rPr>
              <w:t xml:space="preserve">8.9 Collaborative Provision  </w:t>
            </w:r>
          </w:p>
          <w:p w:rsidR="00A70A45" w:rsidRPr="00BF49CD" w:rsidRDefault="00A70A45" w:rsidP="00BF49CD">
            <w:pPr>
              <w:rPr>
                <w:b/>
                <w:i/>
              </w:rPr>
            </w:pPr>
            <w:r w:rsidRPr="00BF49CD">
              <w:rPr>
                <w:b/>
                <w:i/>
              </w:rPr>
              <w:t>What’s new:</w:t>
            </w:r>
          </w:p>
          <w:p w:rsidR="00A70A45" w:rsidRDefault="00A70A45" w:rsidP="00BF49CD">
            <w:r>
              <w:t>It appears that this must be agreed in advance.</w:t>
            </w:r>
          </w:p>
          <w:p w:rsidR="00A70A45" w:rsidRDefault="00A70A45" w:rsidP="00BF49CD">
            <w:r>
              <w:t>QA procedures need to be developed as to how this will happen.</w:t>
            </w:r>
          </w:p>
          <w:p w:rsidR="00A70A45" w:rsidRPr="00BF49CD" w:rsidRDefault="00A70A45" w:rsidP="00BF49CD">
            <w:pPr>
              <w:rPr>
                <w:b/>
                <w:i/>
              </w:rPr>
            </w:pPr>
            <w:r w:rsidRPr="00BF49CD">
              <w:rPr>
                <w:b/>
                <w:i/>
              </w:rPr>
              <w:t>Clarification needed:</w:t>
            </w:r>
          </w:p>
          <w:p w:rsidR="00A70A45" w:rsidRDefault="00A70A45" w:rsidP="00BF49CD">
            <w:r>
              <w:t>Will this have implications for currently validated programmes as it appears that these arrangements must be “approved as part of a validated programme”</w:t>
            </w:r>
            <w:r w:rsidR="00E37DCB">
              <w:t>?</w:t>
            </w:r>
          </w:p>
          <w:p w:rsidR="00A70A45" w:rsidRDefault="00A70A45" w:rsidP="00BF49CD">
            <w:r>
              <w:t xml:space="preserve">Will there be implications for co-delivery of certain programmes? </w:t>
            </w:r>
            <w:proofErr w:type="spellStart"/>
            <w:r>
              <w:t>Eg</w:t>
            </w:r>
            <w:proofErr w:type="spellEnd"/>
            <w:r>
              <w:t xml:space="preserve"> ETBs and FIT</w:t>
            </w:r>
          </w:p>
          <w:p w:rsidR="00A70A45" w:rsidRDefault="00A70A45" w:rsidP="00BF49CD">
            <w:r>
              <w:t>Clarity needed in relation to the difference between collaborative provision (co-delivery of a programme) and sub-contracting of the delivery of the programme</w:t>
            </w:r>
          </w:p>
          <w:p w:rsidR="00A70A45" w:rsidRPr="00055CE1" w:rsidRDefault="00A70A45" w:rsidP="00BF49CD">
            <w:pPr>
              <w:rPr>
                <w:sz w:val="16"/>
                <w:szCs w:val="16"/>
              </w:rPr>
            </w:pPr>
          </w:p>
          <w:p w:rsidR="00A70A45" w:rsidRPr="005B6E17" w:rsidRDefault="00A70A45" w:rsidP="00BF49CD">
            <w:pPr>
              <w:ind w:left="720"/>
              <w:rPr>
                <w:b/>
              </w:rPr>
            </w:pPr>
            <w:r w:rsidRPr="005B6E17">
              <w:rPr>
                <w:b/>
              </w:rPr>
              <w:t>8.9.1 Collaboration Agreement</w:t>
            </w:r>
          </w:p>
          <w:p w:rsidR="00A70A45" w:rsidRDefault="00E37DCB" w:rsidP="00BF49CD">
            <w:pPr>
              <w:ind w:left="720"/>
            </w:pPr>
            <w:r>
              <w:t>New area</w:t>
            </w:r>
          </w:p>
          <w:p w:rsidR="00A70A45" w:rsidRPr="005B6E17" w:rsidRDefault="00A70A45" w:rsidP="00BF49CD">
            <w:pPr>
              <w:ind w:left="720"/>
              <w:rPr>
                <w:b/>
              </w:rPr>
            </w:pPr>
            <w:r w:rsidRPr="005B6E17">
              <w:rPr>
                <w:b/>
              </w:rPr>
              <w:t xml:space="preserve">8.9.2 Monitoring arrangements: </w:t>
            </w:r>
          </w:p>
          <w:p w:rsidR="00A70A45" w:rsidRPr="00BF49CD" w:rsidRDefault="00A70A45" w:rsidP="00BF49CD">
            <w:pPr>
              <w:ind w:left="720"/>
              <w:rPr>
                <w:b/>
                <w:i/>
              </w:rPr>
            </w:pPr>
            <w:r w:rsidRPr="00BF49CD">
              <w:rPr>
                <w:b/>
                <w:i/>
              </w:rPr>
              <w:t>Clarification needed:</w:t>
            </w:r>
          </w:p>
          <w:p w:rsidR="00A70A45" w:rsidRPr="001B6005" w:rsidRDefault="00A70A45" w:rsidP="00BF49CD">
            <w:pPr>
              <w:ind w:left="720"/>
            </w:pPr>
            <w:r>
              <w:t>Will monitoring include monitoring the second provider?</w:t>
            </w:r>
          </w:p>
        </w:tc>
      </w:tr>
      <w:tr w:rsidR="00A70A45" w:rsidRPr="00627CA9" w:rsidTr="00C50852">
        <w:tc>
          <w:tcPr>
            <w:tcW w:w="1844" w:type="dxa"/>
            <w:vMerge/>
          </w:tcPr>
          <w:p w:rsidR="00A70A45" w:rsidRPr="00B55515" w:rsidRDefault="00A70A45" w:rsidP="00BF49CD">
            <w:pPr>
              <w:rPr>
                <w:b/>
              </w:rPr>
            </w:pPr>
          </w:p>
        </w:tc>
        <w:tc>
          <w:tcPr>
            <w:tcW w:w="13182" w:type="dxa"/>
          </w:tcPr>
          <w:p w:rsidR="00A70A45" w:rsidRPr="005B6E17" w:rsidRDefault="00A70A45" w:rsidP="00BF49CD">
            <w:pPr>
              <w:rPr>
                <w:b/>
              </w:rPr>
            </w:pPr>
            <w:r w:rsidRPr="005B6E17">
              <w:rPr>
                <w:b/>
              </w:rPr>
              <w:t xml:space="preserve">8.10 Learner Record System </w:t>
            </w:r>
          </w:p>
          <w:p w:rsidR="00A70A45" w:rsidRPr="00BF49CD" w:rsidRDefault="00A70A45" w:rsidP="00BF49CD">
            <w:pPr>
              <w:rPr>
                <w:b/>
                <w:i/>
              </w:rPr>
            </w:pPr>
            <w:r w:rsidRPr="00BF49CD">
              <w:rPr>
                <w:b/>
                <w:i/>
              </w:rPr>
              <w:t>What’s new:</w:t>
            </w:r>
          </w:p>
          <w:p w:rsidR="00A70A45" w:rsidRDefault="00A70A45" w:rsidP="00BF49CD">
            <w:r>
              <w:t>Requirement for a comprehensive database system at ETB level.</w:t>
            </w:r>
          </w:p>
          <w:p w:rsidR="00A70A45" w:rsidRDefault="00A70A45" w:rsidP="00BF49CD">
            <w:r>
              <w:t>This overlaps with the section on Information management system.</w:t>
            </w:r>
          </w:p>
          <w:p w:rsidR="00A70A45" w:rsidRDefault="00A70A45" w:rsidP="00BF49CD">
            <w:r>
              <w:lastRenderedPageBreak/>
              <w:t>Requirement to have the administrative and IT resources for maintaining a database system.</w:t>
            </w:r>
          </w:p>
          <w:p w:rsidR="00A70A45" w:rsidRPr="00BF49CD" w:rsidRDefault="00A70A45" w:rsidP="00BF49CD">
            <w:pPr>
              <w:rPr>
                <w:b/>
                <w:i/>
              </w:rPr>
            </w:pPr>
            <w:r w:rsidRPr="00BF49CD">
              <w:rPr>
                <w:b/>
                <w:i/>
              </w:rPr>
              <w:t>Comment:</w:t>
            </w:r>
          </w:p>
          <w:p w:rsidR="00A70A45" w:rsidRPr="00627CA9" w:rsidRDefault="00A70A45" w:rsidP="00BF49CD">
            <w:r>
              <w:t>Learner record system is not listed in the table on page 10</w:t>
            </w:r>
          </w:p>
        </w:tc>
      </w:tr>
      <w:tr w:rsidR="00A70A45" w:rsidRPr="00627CA9" w:rsidTr="00C50852">
        <w:tc>
          <w:tcPr>
            <w:tcW w:w="1844" w:type="dxa"/>
            <w:vMerge/>
          </w:tcPr>
          <w:p w:rsidR="00A70A45" w:rsidRPr="00B55515" w:rsidRDefault="00A70A45" w:rsidP="00BF49CD">
            <w:pPr>
              <w:rPr>
                <w:b/>
              </w:rPr>
            </w:pPr>
          </w:p>
        </w:tc>
        <w:tc>
          <w:tcPr>
            <w:tcW w:w="13182" w:type="dxa"/>
          </w:tcPr>
          <w:p w:rsidR="00A70A45" w:rsidRPr="00BF49CD" w:rsidRDefault="00A70A45" w:rsidP="00BF49CD">
            <w:pPr>
              <w:rPr>
                <w:b/>
              </w:rPr>
            </w:pPr>
            <w:r w:rsidRPr="00BF49CD">
              <w:rPr>
                <w:b/>
              </w:rPr>
              <w:t>8.11 Self-Evaluation and Improvement of Programmes and Services</w:t>
            </w:r>
          </w:p>
          <w:p w:rsidR="00A70A45" w:rsidRPr="00BF49CD" w:rsidRDefault="00A70A45" w:rsidP="00BF49CD">
            <w:pPr>
              <w:rPr>
                <w:b/>
                <w:i/>
              </w:rPr>
            </w:pPr>
            <w:r w:rsidRPr="00BF49CD">
              <w:rPr>
                <w:b/>
                <w:i/>
              </w:rPr>
              <w:t>What’s new:</w:t>
            </w:r>
          </w:p>
          <w:p w:rsidR="00A70A45" w:rsidRDefault="00A70A45" w:rsidP="00BF49CD">
            <w:r>
              <w:t>It appears that there is a two pronged approach:</w:t>
            </w:r>
          </w:p>
          <w:p w:rsidR="00A70A45" w:rsidRPr="005B6E17" w:rsidRDefault="00A70A45" w:rsidP="009046D9">
            <w:pPr>
              <w:pStyle w:val="ListParagraph"/>
              <w:numPr>
                <w:ilvl w:val="0"/>
                <w:numId w:val="4"/>
              </w:numPr>
              <w:rPr>
                <w:rFonts w:asciiTheme="minorHAnsi" w:eastAsiaTheme="minorHAnsi" w:hAnsiTheme="minorHAnsi" w:cstheme="minorBidi"/>
                <w:szCs w:val="22"/>
                <w:lang w:val="en-GB"/>
              </w:rPr>
            </w:pPr>
            <w:r w:rsidRPr="005B6E17">
              <w:rPr>
                <w:rFonts w:asciiTheme="minorHAnsi" w:eastAsiaTheme="minorHAnsi" w:hAnsiTheme="minorHAnsi" w:cstheme="minorBidi"/>
                <w:szCs w:val="22"/>
                <w:lang w:val="en-GB"/>
              </w:rPr>
              <w:t>Self- evaluation of programmes for the purpose of re-validation (explicitly linked to re-validation – timeframe?)</w:t>
            </w:r>
          </w:p>
          <w:p w:rsidR="00A70A45" w:rsidRPr="005B6E17" w:rsidRDefault="00A70A45" w:rsidP="009046D9">
            <w:pPr>
              <w:pStyle w:val="ListParagraph"/>
              <w:numPr>
                <w:ilvl w:val="0"/>
                <w:numId w:val="4"/>
              </w:numPr>
              <w:rPr>
                <w:rFonts w:asciiTheme="minorHAnsi" w:eastAsiaTheme="minorHAnsi" w:hAnsiTheme="minorHAnsi" w:cstheme="minorBidi"/>
                <w:szCs w:val="22"/>
                <w:lang w:val="en-GB"/>
              </w:rPr>
            </w:pPr>
            <w:r w:rsidRPr="005B6E17">
              <w:rPr>
                <w:rFonts w:asciiTheme="minorHAnsi" w:eastAsiaTheme="minorHAnsi" w:hAnsiTheme="minorHAnsi" w:cstheme="minorBidi"/>
                <w:szCs w:val="22"/>
                <w:lang w:val="en-GB"/>
              </w:rPr>
              <w:t>Self- evaluation of the effectiveness of the QA system (at least once every 7 years)</w:t>
            </w:r>
          </w:p>
          <w:p w:rsidR="00A70A45" w:rsidRDefault="00A70A45" w:rsidP="00BF49CD">
            <w:r>
              <w:t>Two different self-evaluation reports, one based on the QA systems and one linked to the programmes.</w:t>
            </w:r>
          </w:p>
          <w:p w:rsidR="00A70A45" w:rsidRDefault="00A70A45" w:rsidP="00BF49CD">
            <w:r>
              <w:t xml:space="preserve">Self-evaluation external panel is </w:t>
            </w:r>
            <w:r w:rsidR="00E37DCB">
              <w:t>new;</w:t>
            </w:r>
            <w:r>
              <w:t xml:space="preserve"> this appears to replace the external evaluator for the purposes of self-evaluation of programmes.</w:t>
            </w:r>
          </w:p>
          <w:p w:rsidR="00A70A45" w:rsidRDefault="00A70A45" w:rsidP="00BF49CD">
            <w:r>
              <w:t>The “findings of the external panel wi</w:t>
            </w:r>
            <w:r w:rsidR="00E37DCB">
              <w:t>ll be documented and published” - this</w:t>
            </w:r>
            <w:r>
              <w:t xml:space="preserve"> is new. </w:t>
            </w:r>
          </w:p>
          <w:p w:rsidR="00A70A45" w:rsidRDefault="00A70A45" w:rsidP="00BF49CD">
            <w:r>
              <w:t>Learner involvement – now a requirement to include learners whose first language is not English and people with disabilities, if present on programme.</w:t>
            </w:r>
          </w:p>
          <w:p w:rsidR="00A70A45" w:rsidRDefault="00A70A45" w:rsidP="00BF49CD">
            <w:r>
              <w:t>There appears to be an a</w:t>
            </w:r>
            <w:r w:rsidRPr="0051080D">
              <w:t xml:space="preserve">dditional </w:t>
            </w:r>
            <w:r>
              <w:t xml:space="preserve">specified </w:t>
            </w:r>
            <w:r w:rsidRPr="0051080D">
              <w:t xml:space="preserve">role for teachers? </w:t>
            </w:r>
            <w:r>
              <w:t>–</w:t>
            </w:r>
            <w:r w:rsidRPr="0051080D">
              <w:t xml:space="preserve"> </w:t>
            </w:r>
            <w:r>
              <w:t>“</w:t>
            </w:r>
            <w:r w:rsidRPr="0051080D">
              <w:rPr>
                <w:i/>
              </w:rPr>
              <w:t>Central to this engagement is the realisation that self-evaluation (and quality assurance in general) is part of the teachers’ role – it is not something that is additional to teaching – and it needs to be promoted and described in this way.</w:t>
            </w:r>
            <w:r>
              <w:rPr>
                <w:i/>
              </w:rPr>
              <w:t>”</w:t>
            </w:r>
            <w:r>
              <w:t xml:space="preserve"> Is it relevant to include this here?</w:t>
            </w:r>
          </w:p>
          <w:p w:rsidR="00A70A45" w:rsidRPr="00BF49CD" w:rsidRDefault="00A70A45" w:rsidP="00BF49CD">
            <w:pPr>
              <w:rPr>
                <w:b/>
                <w:i/>
              </w:rPr>
            </w:pPr>
            <w:r w:rsidRPr="00BF49CD">
              <w:rPr>
                <w:b/>
                <w:i/>
              </w:rPr>
              <w:t>Comment:</w:t>
            </w:r>
          </w:p>
          <w:p w:rsidR="00A70A45" w:rsidRDefault="00A70A45" w:rsidP="00BF49CD">
            <w:r>
              <w:t>There is an inconsistency in the titles for this between the title on page 10 and page 21 (Page 10 refers to this as “self-evaluation and improvement”).</w:t>
            </w:r>
          </w:p>
          <w:p w:rsidR="00A70A45" w:rsidRDefault="00A70A45" w:rsidP="00BF49CD">
            <w:r>
              <w:t>Self-evaluation of programmes for the purposes of re-validation will be determined by when the programmes were published or when awards are reviewed.</w:t>
            </w:r>
          </w:p>
          <w:p w:rsidR="00A70A45" w:rsidRDefault="00A70A45" w:rsidP="00BF49CD">
            <w:r>
              <w:t>Further guidelines needed for this whole area so that providers are clear on what is required in terms of process, procedures and other resources</w:t>
            </w:r>
          </w:p>
          <w:p w:rsidR="00A70A45" w:rsidRDefault="00A70A45" w:rsidP="00BF49CD">
            <w:r>
              <w:t>Separate sections in the guidelines for the two separate self-evaluation processes might be useful.</w:t>
            </w:r>
          </w:p>
          <w:p w:rsidR="00A70A45" w:rsidRPr="00BF49CD" w:rsidRDefault="00A70A45" w:rsidP="00BF49CD">
            <w:pPr>
              <w:rPr>
                <w:b/>
                <w:i/>
              </w:rPr>
            </w:pPr>
            <w:r w:rsidRPr="00BF49CD">
              <w:rPr>
                <w:b/>
                <w:i/>
              </w:rPr>
              <w:t>Clarifications needed:</w:t>
            </w:r>
          </w:p>
          <w:p w:rsidR="00A70A45" w:rsidRDefault="00A70A45" w:rsidP="00BF49CD">
            <w:r>
              <w:t xml:space="preserve">Is the self-evaluation of the QA processes replacing the external monitoring process? </w:t>
            </w:r>
          </w:p>
          <w:p w:rsidR="00A70A45" w:rsidRDefault="00E37DCB" w:rsidP="00BF49CD">
            <w:r>
              <w:t xml:space="preserve">Is </w:t>
            </w:r>
            <w:r w:rsidR="00A70A45">
              <w:t>SER also published along with the external panel findings?</w:t>
            </w:r>
          </w:p>
          <w:p w:rsidR="00A70A45" w:rsidRPr="0051080D" w:rsidRDefault="00A70A45" w:rsidP="00BF49CD">
            <w:r>
              <w:t>It is unclear who appoints the external panel (</w:t>
            </w:r>
            <w:r w:rsidRPr="00E37DCB">
              <w:rPr>
                <w:i/>
              </w:rPr>
              <w:t>independent</w:t>
            </w:r>
            <w:r>
              <w:t xml:space="preserve"> external panel)</w:t>
            </w:r>
          </w:p>
        </w:tc>
      </w:tr>
      <w:tr w:rsidR="00BF49CD" w:rsidRPr="00627CA9" w:rsidTr="00C50852">
        <w:tc>
          <w:tcPr>
            <w:tcW w:w="1844" w:type="dxa"/>
          </w:tcPr>
          <w:p w:rsidR="00BF49CD" w:rsidRPr="00B55515" w:rsidRDefault="00BF49CD" w:rsidP="00BF49CD">
            <w:pPr>
              <w:rPr>
                <w:b/>
              </w:rPr>
            </w:pPr>
            <w:r w:rsidRPr="00B55515">
              <w:rPr>
                <w:b/>
              </w:rPr>
              <w:t>9. ETB Quality Assurance – Re-engagement with QQI</w:t>
            </w:r>
          </w:p>
        </w:tc>
        <w:tc>
          <w:tcPr>
            <w:tcW w:w="13182" w:type="dxa"/>
          </w:tcPr>
          <w:p w:rsidR="00BF49CD" w:rsidRPr="00C33AB1" w:rsidRDefault="00BF49CD" w:rsidP="00BF49CD">
            <w:pPr>
              <w:rPr>
                <w:b/>
                <w:i/>
              </w:rPr>
            </w:pPr>
            <w:r w:rsidRPr="00C33AB1">
              <w:rPr>
                <w:b/>
                <w:i/>
              </w:rPr>
              <w:t>Comment:</w:t>
            </w:r>
          </w:p>
          <w:p w:rsidR="00BF49CD" w:rsidRDefault="00BF49CD" w:rsidP="00BF49CD">
            <w:r>
              <w:t>Should this be in a preamble to the guidelines</w:t>
            </w:r>
            <w:r w:rsidR="00E37DCB">
              <w:t>?</w:t>
            </w:r>
          </w:p>
          <w:p w:rsidR="00BF49CD" w:rsidRDefault="00BF49CD" w:rsidP="00BF49CD">
            <w:r>
              <w:t>Is the improvement strategy separate to the SER? (</w:t>
            </w:r>
            <w:proofErr w:type="gramStart"/>
            <w:r>
              <w:t>and</w:t>
            </w:r>
            <w:proofErr w:type="gramEnd"/>
            <w:r>
              <w:t xml:space="preserve"> for subsequent self-evaluations as well?)</w:t>
            </w:r>
          </w:p>
          <w:p w:rsidR="00BF49CD" w:rsidRPr="00C33AB1" w:rsidRDefault="00BF49CD" w:rsidP="00BF49CD">
            <w:pPr>
              <w:rPr>
                <w:b/>
                <w:i/>
              </w:rPr>
            </w:pPr>
            <w:r w:rsidRPr="00C33AB1">
              <w:rPr>
                <w:b/>
                <w:i/>
              </w:rPr>
              <w:t>Clarification needed:</w:t>
            </w:r>
          </w:p>
          <w:p w:rsidR="00E37DCB" w:rsidRDefault="00E37DCB" w:rsidP="00BF49CD">
            <w:r>
              <w:t>Is this referring to the Self-evaluation planned for March 2015 as part of the re-engagement process?</w:t>
            </w:r>
          </w:p>
          <w:p w:rsidR="00BF49CD" w:rsidRPr="00627CA9" w:rsidRDefault="00BF49CD" w:rsidP="00BF49CD">
            <w:r>
              <w:t xml:space="preserve">Clarity needed on </w:t>
            </w:r>
            <w:r w:rsidR="00C33AB1">
              <w:t>how and where documents will be published</w:t>
            </w:r>
          </w:p>
        </w:tc>
      </w:tr>
      <w:tr w:rsidR="00BF49CD" w:rsidRPr="00627CA9" w:rsidTr="00C50852">
        <w:tc>
          <w:tcPr>
            <w:tcW w:w="1844" w:type="dxa"/>
          </w:tcPr>
          <w:p w:rsidR="00BF49CD" w:rsidRPr="00B55515" w:rsidRDefault="00BF49CD" w:rsidP="00BF49CD">
            <w:pPr>
              <w:rPr>
                <w:b/>
                <w:i/>
                <w:lang w:eastAsia="ar-SA"/>
              </w:rPr>
            </w:pPr>
            <w:r w:rsidRPr="00055CE1">
              <w:rPr>
                <w:b/>
              </w:rPr>
              <w:t>Glossary of Terms</w:t>
            </w:r>
          </w:p>
        </w:tc>
        <w:tc>
          <w:tcPr>
            <w:tcW w:w="13182" w:type="dxa"/>
          </w:tcPr>
          <w:p w:rsidR="00BF49CD" w:rsidRPr="00627CA9" w:rsidRDefault="00BF49CD" w:rsidP="00BF49CD">
            <w:r>
              <w:t>Redefine self-evaluation</w:t>
            </w:r>
          </w:p>
        </w:tc>
      </w:tr>
      <w:tr w:rsidR="00BF49CD" w:rsidRPr="00627CA9" w:rsidTr="00C50852">
        <w:tc>
          <w:tcPr>
            <w:tcW w:w="1844" w:type="dxa"/>
          </w:tcPr>
          <w:p w:rsidR="00BF49CD" w:rsidRPr="00B55515" w:rsidRDefault="00BF49CD" w:rsidP="00BF49CD">
            <w:pPr>
              <w:rPr>
                <w:b/>
              </w:rPr>
            </w:pPr>
            <w:r w:rsidRPr="00B55515">
              <w:rPr>
                <w:b/>
              </w:rPr>
              <w:lastRenderedPageBreak/>
              <w:t xml:space="preserve">Communications &amp; Equality </w:t>
            </w:r>
          </w:p>
        </w:tc>
        <w:tc>
          <w:tcPr>
            <w:tcW w:w="13182" w:type="dxa"/>
          </w:tcPr>
          <w:p w:rsidR="00BF49CD" w:rsidRPr="00627CA9" w:rsidRDefault="00E37DCB" w:rsidP="00BF49CD">
            <w:r>
              <w:t>These appear</w:t>
            </w:r>
            <w:r w:rsidR="00BF49CD">
              <w:t xml:space="preserve"> to be no longer a QA area</w:t>
            </w:r>
            <w:r>
              <w:t xml:space="preserve">s in their </w:t>
            </w:r>
            <w:r w:rsidR="00BF49CD">
              <w:t>own right, are these to be integrated across all the other areas, as appropriate?</w:t>
            </w:r>
          </w:p>
        </w:tc>
      </w:tr>
      <w:tr w:rsidR="00BF49CD" w:rsidRPr="00627CA9" w:rsidTr="00C50852">
        <w:tc>
          <w:tcPr>
            <w:tcW w:w="1844" w:type="dxa"/>
          </w:tcPr>
          <w:p w:rsidR="00BF49CD" w:rsidRPr="00B55515" w:rsidRDefault="00BF49CD" w:rsidP="00BF49CD">
            <w:pPr>
              <w:rPr>
                <w:b/>
              </w:rPr>
            </w:pPr>
            <w:r w:rsidRPr="00B55515">
              <w:rPr>
                <w:b/>
              </w:rPr>
              <w:t>Information for Learners Guidelines for Providers (FETAC document)</w:t>
            </w:r>
          </w:p>
        </w:tc>
        <w:tc>
          <w:tcPr>
            <w:tcW w:w="13182" w:type="dxa"/>
          </w:tcPr>
          <w:p w:rsidR="00BF49CD" w:rsidRDefault="00BF49CD" w:rsidP="00BF49CD">
            <w:r>
              <w:t>Distinction between equipped to participate and capacity to succeed statements.</w:t>
            </w:r>
          </w:p>
          <w:p w:rsidR="00BF49CD" w:rsidRPr="00627CA9" w:rsidRDefault="00BF49CD" w:rsidP="00BF49CD">
            <w:r>
              <w:t>Will there be a new Learner charter?</w:t>
            </w:r>
          </w:p>
        </w:tc>
      </w:tr>
    </w:tbl>
    <w:p w:rsidR="00CB0871" w:rsidRDefault="00CB0871" w:rsidP="00CB0871"/>
    <w:p w:rsidR="00CB0871" w:rsidRDefault="00CB0871"/>
    <w:sectPr w:rsidR="00CB0871" w:rsidSect="00C50852">
      <w:footerReference w:type="default" r:id="rId8"/>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01C" w:rsidRDefault="000E301C" w:rsidP="00DD4A91">
      <w:pPr>
        <w:spacing w:after="0" w:line="240" w:lineRule="auto"/>
      </w:pPr>
      <w:r>
        <w:separator/>
      </w:r>
    </w:p>
  </w:endnote>
  <w:endnote w:type="continuationSeparator" w:id="0">
    <w:p w:rsidR="000E301C" w:rsidRDefault="000E301C" w:rsidP="00DD4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27C" w:rsidRDefault="006A127C">
    <w:pPr>
      <w:pStyle w:val="Footer"/>
    </w:pPr>
    <w:r>
      <w:t>Prepared by FESS for the ETBI/QQI FET Forum working group</w:t>
    </w:r>
  </w:p>
  <w:p w:rsidR="006A127C" w:rsidRDefault="006A12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01C" w:rsidRDefault="000E301C" w:rsidP="00DD4A91">
      <w:pPr>
        <w:spacing w:after="0" w:line="240" w:lineRule="auto"/>
      </w:pPr>
      <w:r>
        <w:separator/>
      </w:r>
    </w:p>
  </w:footnote>
  <w:footnote w:type="continuationSeparator" w:id="0">
    <w:p w:rsidR="000E301C" w:rsidRDefault="000E301C" w:rsidP="00DD4A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9615D"/>
    <w:multiLevelType w:val="hybridMultilevel"/>
    <w:tmpl w:val="B2CE0A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E7C59F2"/>
    <w:multiLevelType w:val="hybridMultilevel"/>
    <w:tmpl w:val="B5C872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7507D8A"/>
    <w:multiLevelType w:val="hybridMultilevel"/>
    <w:tmpl w:val="CC6858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5810C9F"/>
    <w:multiLevelType w:val="hybridMultilevel"/>
    <w:tmpl w:val="CCC2AE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3CCE7776"/>
    <w:multiLevelType w:val="hybridMultilevel"/>
    <w:tmpl w:val="99EA2B8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3EB3116F"/>
    <w:multiLevelType w:val="hybridMultilevel"/>
    <w:tmpl w:val="FDAE98E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40BC389A"/>
    <w:multiLevelType w:val="hybridMultilevel"/>
    <w:tmpl w:val="33DE49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4F5A7EB4"/>
    <w:multiLevelType w:val="hybridMultilevel"/>
    <w:tmpl w:val="28EC58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569266F2"/>
    <w:multiLevelType w:val="hybridMultilevel"/>
    <w:tmpl w:val="49DE4B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606F431E"/>
    <w:multiLevelType w:val="hybridMultilevel"/>
    <w:tmpl w:val="A0848BD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61666169"/>
    <w:multiLevelType w:val="hybridMultilevel"/>
    <w:tmpl w:val="A4060F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7D1C5F9E"/>
    <w:multiLevelType w:val="hybridMultilevel"/>
    <w:tmpl w:val="99EA2B8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9"/>
  </w:num>
  <w:num w:numId="5">
    <w:abstractNumId w:val="7"/>
  </w:num>
  <w:num w:numId="6">
    <w:abstractNumId w:val="2"/>
  </w:num>
  <w:num w:numId="7">
    <w:abstractNumId w:val="0"/>
  </w:num>
  <w:num w:numId="8">
    <w:abstractNumId w:val="10"/>
  </w:num>
  <w:num w:numId="9">
    <w:abstractNumId w:val="11"/>
  </w:num>
  <w:num w:numId="10">
    <w:abstractNumId w:val="6"/>
  </w:num>
  <w:num w:numId="11">
    <w:abstractNumId w:val="1"/>
  </w:num>
  <w:num w:numId="1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A91"/>
    <w:rsid w:val="00055CE1"/>
    <w:rsid w:val="000B313E"/>
    <w:rsid w:val="000E301C"/>
    <w:rsid w:val="000E7F84"/>
    <w:rsid w:val="001612CE"/>
    <w:rsid w:val="001B2A77"/>
    <w:rsid w:val="001C215B"/>
    <w:rsid w:val="00216A0A"/>
    <w:rsid w:val="00236C12"/>
    <w:rsid w:val="00324898"/>
    <w:rsid w:val="0035113C"/>
    <w:rsid w:val="003970B3"/>
    <w:rsid w:val="00454C07"/>
    <w:rsid w:val="0051083A"/>
    <w:rsid w:val="00527D36"/>
    <w:rsid w:val="0057054C"/>
    <w:rsid w:val="005A3CD0"/>
    <w:rsid w:val="005B6E17"/>
    <w:rsid w:val="005F3FCB"/>
    <w:rsid w:val="0063223A"/>
    <w:rsid w:val="00694CBB"/>
    <w:rsid w:val="006A127C"/>
    <w:rsid w:val="00726025"/>
    <w:rsid w:val="0072741F"/>
    <w:rsid w:val="007541A1"/>
    <w:rsid w:val="00767474"/>
    <w:rsid w:val="007C44C1"/>
    <w:rsid w:val="007E14C4"/>
    <w:rsid w:val="007E6497"/>
    <w:rsid w:val="008A6105"/>
    <w:rsid w:val="008C380D"/>
    <w:rsid w:val="009046D9"/>
    <w:rsid w:val="00993673"/>
    <w:rsid w:val="009D24CA"/>
    <w:rsid w:val="00A32A4D"/>
    <w:rsid w:val="00A675E0"/>
    <w:rsid w:val="00A70A45"/>
    <w:rsid w:val="00A92BC7"/>
    <w:rsid w:val="00AF1D13"/>
    <w:rsid w:val="00B55515"/>
    <w:rsid w:val="00BB1DAD"/>
    <w:rsid w:val="00BD09F6"/>
    <w:rsid w:val="00BD60F3"/>
    <w:rsid w:val="00BF49CD"/>
    <w:rsid w:val="00C16B21"/>
    <w:rsid w:val="00C17F28"/>
    <w:rsid w:val="00C33AB1"/>
    <w:rsid w:val="00C50852"/>
    <w:rsid w:val="00C52EC5"/>
    <w:rsid w:val="00CB0871"/>
    <w:rsid w:val="00D03DE6"/>
    <w:rsid w:val="00D438BE"/>
    <w:rsid w:val="00DD3F72"/>
    <w:rsid w:val="00DD4A91"/>
    <w:rsid w:val="00E04D5D"/>
    <w:rsid w:val="00E07F09"/>
    <w:rsid w:val="00E37DCB"/>
    <w:rsid w:val="00E60F29"/>
    <w:rsid w:val="00EB74C3"/>
    <w:rsid w:val="00F02717"/>
    <w:rsid w:val="00F10286"/>
    <w:rsid w:val="00F32E8E"/>
    <w:rsid w:val="00F772C9"/>
    <w:rsid w:val="00F81383"/>
    <w:rsid w:val="00FA69B6"/>
    <w:rsid w:val="00FC1152"/>
    <w:rsid w:val="00FE5AB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0132D9-0556-44E2-AB42-1B426E642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A91"/>
    <w:rPr>
      <w:lang w:val="en-GB"/>
    </w:rPr>
  </w:style>
  <w:style w:type="paragraph" w:styleId="Heading2">
    <w:name w:val="heading 2"/>
    <w:basedOn w:val="Normal"/>
    <w:next w:val="Normal"/>
    <w:link w:val="Heading2Char"/>
    <w:qFormat/>
    <w:rsid w:val="00DD4A91"/>
    <w:pPr>
      <w:keepNext/>
      <w:spacing w:before="240" w:after="60" w:line="240" w:lineRule="auto"/>
      <w:outlineLvl w:val="1"/>
    </w:pPr>
    <w:rPr>
      <w:rFonts w:ascii="Arial" w:eastAsia="Times New Roman" w:hAnsi="Arial" w:cs="Times New Roman"/>
      <w:b/>
      <w:sz w:val="30"/>
      <w:szCs w:val="28"/>
      <w:lang w:val="en-IE"/>
    </w:rPr>
  </w:style>
  <w:style w:type="paragraph" w:styleId="Heading5">
    <w:name w:val="heading 5"/>
    <w:basedOn w:val="Normal"/>
    <w:next w:val="Normal"/>
    <w:link w:val="Heading5Char"/>
    <w:uiPriority w:val="9"/>
    <w:semiHidden/>
    <w:unhideWhenUsed/>
    <w:qFormat/>
    <w:rsid w:val="00CB087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D4A91"/>
    <w:rPr>
      <w:rFonts w:ascii="Arial" w:eastAsia="Times New Roman" w:hAnsi="Arial" w:cs="Times New Roman"/>
      <w:b/>
      <w:sz w:val="30"/>
      <w:szCs w:val="28"/>
    </w:rPr>
  </w:style>
  <w:style w:type="table" w:styleId="TableGrid">
    <w:name w:val="Table Grid"/>
    <w:basedOn w:val="TableNormal"/>
    <w:uiPriority w:val="39"/>
    <w:rsid w:val="00DD4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4A9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D4A91"/>
    <w:pPr>
      <w:spacing w:after="0" w:line="240" w:lineRule="auto"/>
      <w:ind w:left="720"/>
      <w:contextualSpacing/>
    </w:pPr>
    <w:rPr>
      <w:rFonts w:ascii="Arial" w:eastAsia="Times New Roman" w:hAnsi="Arial" w:cs="Times New Roman"/>
      <w:szCs w:val="24"/>
      <w:lang w:val="en-IE"/>
    </w:rPr>
  </w:style>
  <w:style w:type="paragraph" w:styleId="TOC2">
    <w:name w:val="toc 2"/>
    <w:basedOn w:val="Normal"/>
    <w:next w:val="Normal"/>
    <w:autoRedefine/>
    <w:uiPriority w:val="39"/>
    <w:rsid w:val="001C215B"/>
    <w:pPr>
      <w:tabs>
        <w:tab w:val="left" w:pos="1134"/>
        <w:tab w:val="right" w:pos="8931"/>
      </w:tabs>
      <w:spacing w:after="0" w:line="240" w:lineRule="auto"/>
    </w:pPr>
    <w:rPr>
      <w:rFonts w:cs="Arial"/>
      <w:noProof/>
      <w:lang w:val="en-IE" w:eastAsia="ar-SA"/>
    </w:rPr>
  </w:style>
  <w:style w:type="character" w:styleId="Hyperlink">
    <w:name w:val="Hyperlink"/>
    <w:uiPriority w:val="99"/>
    <w:rsid w:val="00DD4A91"/>
    <w:rPr>
      <w:color w:val="0000FF"/>
      <w:u w:val="single"/>
    </w:rPr>
  </w:style>
  <w:style w:type="paragraph" w:styleId="BodyText3">
    <w:name w:val="Body Text 3"/>
    <w:basedOn w:val="Normal"/>
    <w:link w:val="BodyText3Char"/>
    <w:rsid w:val="00DD4A91"/>
    <w:pPr>
      <w:spacing w:after="0" w:line="240" w:lineRule="auto"/>
      <w:jc w:val="both"/>
    </w:pPr>
    <w:rPr>
      <w:rFonts w:ascii="Arial" w:eastAsia="Times New Roman" w:hAnsi="Arial" w:cs="Times New Roman"/>
      <w:szCs w:val="24"/>
      <w:lang w:val="en-IE"/>
    </w:rPr>
  </w:style>
  <w:style w:type="character" w:customStyle="1" w:styleId="BodyText3Char">
    <w:name w:val="Body Text 3 Char"/>
    <w:basedOn w:val="DefaultParagraphFont"/>
    <w:link w:val="BodyText3"/>
    <w:rsid w:val="00DD4A91"/>
    <w:rPr>
      <w:rFonts w:ascii="Arial" w:eastAsia="Times New Roman" w:hAnsi="Arial" w:cs="Times New Roman"/>
      <w:szCs w:val="24"/>
    </w:rPr>
  </w:style>
  <w:style w:type="paragraph" w:styleId="BodyTextIndent3">
    <w:name w:val="Body Text Indent 3"/>
    <w:basedOn w:val="Normal"/>
    <w:link w:val="BodyTextIndent3Char"/>
    <w:uiPriority w:val="99"/>
    <w:unhideWhenUsed/>
    <w:rsid w:val="00DD4A91"/>
    <w:pPr>
      <w:spacing w:after="120"/>
      <w:ind w:left="283"/>
    </w:pPr>
    <w:rPr>
      <w:sz w:val="16"/>
      <w:szCs w:val="16"/>
    </w:rPr>
  </w:style>
  <w:style w:type="character" w:customStyle="1" w:styleId="BodyTextIndent3Char">
    <w:name w:val="Body Text Indent 3 Char"/>
    <w:basedOn w:val="DefaultParagraphFont"/>
    <w:link w:val="BodyTextIndent3"/>
    <w:uiPriority w:val="99"/>
    <w:rsid w:val="00DD4A91"/>
    <w:rPr>
      <w:sz w:val="16"/>
      <w:szCs w:val="16"/>
      <w:lang w:val="en-GB"/>
    </w:rPr>
  </w:style>
  <w:style w:type="paragraph" w:styleId="FootnoteText">
    <w:name w:val="footnote text"/>
    <w:basedOn w:val="Normal"/>
    <w:link w:val="FootnoteTextChar"/>
    <w:rsid w:val="00DD4A91"/>
    <w:pPr>
      <w:spacing w:after="0" w:line="240" w:lineRule="auto"/>
    </w:pPr>
    <w:rPr>
      <w:rFonts w:ascii="Arial" w:eastAsia="Times New Roman" w:hAnsi="Arial" w:cs="Times New Roman"/>
      <w:sz w:val="20"/>
      <w:szCs w:val="20"/>
      <w:lang w:val="en-IE"/>
    </w:rPr>
  </w:style>
  <w:style w:type="character" w:customStyle="1" w:styleId="FootnoteTextChar">
    <w:name w:val="Footnote Text Char"/>
    <w:basedOn w:val="DefaultParagraphFont"/>
    <w:link w:val="FootnoteText"/>
    <w:rsid w:val="00DD4A91"/>
    <w:rPr>
      <w:rFonts w:ascii="Arial" w:eastAsia="Times New Roman" w:hAnsi="Arial" w:cs="Times New Roman"/>
      <w:sz w:val="20"/>
      <w:szCs w:val="20"/>
    </w:rPr>
  </w:style>
  <w:style w:type="character" w:styleId="FootnoteReference">
    <w:name w:val="footnote reference"/>
    <w:rsid w:val="00DD4A91"/>
    <w:rPr>
      <w:vertAlign w:val="superscript"/>
    </w:rPr>
  </w:style>
  <w:style w:type="character" w:styleId="CommentReference">
    <w:name w:val="annotation reference"/>
    <w:basedOn w:val="DefaultParagraphFont"/>
    <w:uiPriority w:val="99"/>
    <w:semiHidden/>
    <w:unhideWhenUsed/>
    <w:rsid w:val="00DD4A91"/>
    <w:rPr>
      <w:sz w:val="16"/>
      <w:szCs w:val="16"/>
    </w:rPr>
  </w:style>
  <w:style w:type="paragraph" w:styleId="CommentText">
    <w:name w:val="annotation text"/>
    <w:basedOn w:val="Normal"/>
    <w:link w:val="CommentTextChar"/>
    <w:uiPriority w:val="99"/>
    <w:semiHidden/>
    <w:unhideWhenUsed/>
    <w:rsid w:val="00DD4A91"/>
    <w:pPr>
      <w:spacing w:line="240" w:lineRule="auto"/>
    </w:pPr>
    <w:rPr>
      <w:sz w:val="20"/>
      <w:szCs w:val="20"/>
    </w:rPr>
  </w:style>
  <w:style w:type="character" w:customStyle="1" w:styleId="CommentTextChar">
    <w:name w:val="Comment Text Char"/>
    <w:basedOn w:val="DefaultParagraphFont"/>
    <w:link w:val="CommentText"/>
    <w:uiPriority w:val="99"/>
    <w:semiHidden/>
    <w:rsid w:val="00DD4A91"/>
    <w:rPr>
      <w:sz w:val="20"/>
      <w:szCs w:val="20"/>
      <w:lang w:val="en-GB"/>
    </w:rPr>
  </w:style>
  <w:style w:type="paragraph" w:styleId="BalloonText">
    <w:name w:val="Balloon Text"/>
    <w:basedOn w:val="Normal"/>
    <w:link w:val="BalloonTextChar"/>
    <w:uiPriority w:val="99"/>
    <w:semiHidden/>
    <w:unhideWhenUsed/>
    <w:rsid w:val="00DD4A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A91"/>
    <w:rPr>
      <w:rFonts w:ascii="Segoe UI" w:hAnsi="Segoe UI" w:cs="Segoe UI"/>
      <w:sz w:val="18"/>
      <w:szCs w:val="18"/>
      <w:lang w:val="en-GB"/>
    </w:rPr>
  </w:style>
  <w:style w:type="character" w:customStyle="1" w:styleId="Heading5Char">
    <w:name w:val="Heading 5 Char"/>
    <w:basedOn w:val="DefaultParagraphFont"/>
    <w:link w:val="Heading5"/>
    <w:uiPriority w:val="9"/>
    <w:semiHidden/>
    <w:rsid w:val="00CB0871"/>
    <w:rPr>
      <w:rFonts w:asciiTheme="majorHAnsi" w:eastAsiaTheme="majorEastAsia" w:hAnsiTheme="majorHAnsi" w:cstheme="majorBidi"/>
      <w:color w:val="2E74B5" w:themeColor="accent1" w:themeShade="BF"/>
      <w:lang w:val="en-GB"/>
    </w:rPr>
  </w:style>
  <w:style w:type="paragraph" w:styleId="BodyTextIndent">
    <w:name w:val="Body Text Indent"/>
    <w:basedOn w:val="Normal"/>
    <w:link w:val="BodyTextIndentChar"/>
    <w:uiPriority w:val="99"/>
    <w:semiHidden/>
    <w:unhideWhenUsed/>
    <w:rsid w:val="00CB0871"/>
    <w:pPr>
      <w:spacing w:after="120"/>
      <w:ind w:left="283"/>
    </w:pPr>
  </w:style>
  <w:style w:type="character" w:customStyle="1" w:styleId="BodyTextIndentChar">
    <w:name w:val="Body Text Indent Char"/>
    <w:basedOn w:val="DefaultParagraphFont"/>
    <w:link w:val="BodyTextIndent"/>
    <w:uiPriority w:val="99"/>
    <w:semiHidden/>
    <w:rsid w:val="00CB0871"/>
    <w:rPr>
      <w:lang w:val="en-GB"/>
    </w:rPr>
  </w:style>
  <w:style w:type="paragraph" w:styleId="CommentSubject">
    <w:name w:val="annotation subject"/>
    <w:basedOn w:val="CommentText"/>
    <w:next w:val="CommentText"/>
    <w:link w:val="CommentSubjectChar"/>
    <w:uiPriority w:val="99"/>
    <w:semiHidden/>
    <w:unhideWhenUsed/>
    <w:rsid w:val="00CB0871"/>
    <w:rPr>
      <w:b/>
      <w:bCs/>
    </w:rPr>
  </w:style>
  <w:style w:type="character" w:customStyle="1" w:styleId="CommentSubjectChar">
    <w:name w:val="Comment Subject Char"/>
    <w:basedOn w:val="CommentTextChar"/>
    <w:link w:val="CommentSubject"/>
    <w:uiPriority w:val="99"/>
    <w:semiHidden/>
    <w:rsid w:val="00CB0871"/>
    <w:rPr>
      <w:b/>
      <w:bCs/>
      <w:sz w:val="20"/>
      <w:szCs w:val="20"/>
      <w:lang w:val="en-GB"/>
    </w:rPr>
  </w:style>
  <w:style w:type="paragraph" w:styleId="NormalWeb">
    <w:name w:val="Normal (Web)"/>
    <w:basedOn w:val="Normal"/>
    <w:uiPriority w:val="99"/>
    <w:semiHidden/>
    <w:unhideWhenUsed/>
    <w:rsid w:val="007E6497"/>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styleId="Header">
    <w:name w:val="header"/>
    <w:basedOn w:val="Normal"/>
    <w:link w:val="HeaderChar"/>
    <w:uiPriority w:val="99"/>
    <w:unhideWhenUsed/>
    <w:rsid w:val="006A12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127C"/>
    <w:rPr>
      <w:lang w:val="en-GB"/>
    </w:rPr>
  </w:style>
  <w:style w:type="paragraph" w:styleId="Footer">
    <w:name w:val="footer"/>
    <w:basedOn w:val="Normal"/>
    <w:link w:val="FooterChar"/>
    <w:uiPriority w:val="99"/>
    <w:unhideWhenUsed/>
    <w:rsid w:val="006A12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127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28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6327E-29A4-466D-B348-F3B8E7998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12</Pages>
  <Words>3400</Words>
  <Characters>19384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Sheehy</dc:creator>
  <cp:lastModifiedBy>Mary Sheehy</cp:lastModifiedBy>
  <cp:revision>6</cp:revision>
  <cp:lastPrinted>2014-11-25T15:50:00Z</cp:lastPrinted>
  <dcterms:created xsi:type="dcterms:W3CDTF">2014-12-12T10:17:00Z</dcterms:created>
  <dcterms:modified xsi:type="dcterms:W3CDTF">2014-12-18T12:36:00Z</dcterms:modified>
</cp:coreProperties>
</file>